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605-8k_authid.htm"/>
      <w:bookmarkStart w:id="1" w:name="ksea03056058k_authi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9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bookmarkStart w:id="5" w:name="xdx_900_edei--EntityIncorporationStateCo"/>
            <w:bookmarkEnd w:id="5"/>
            <w:r>
              <w:rPr>
                <w:rFonts w:ascii="Times New Roman;Times;Serif" w:hAnsi="Times New Roman;Times;Serif"/>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6" w:name="xdx_903_edei--EntityFileNumber_c20260909"/>
            <w:bookmarkEnd w:id="6"/>
            <w:r>
              <w:rPr>
                <w:rFonts w:ascii="Times New Roman;Times;Serif" w:hAnsi="Times New Roman;Times;Serif"/>
                <w:sz w:val="20"/>
              </w:rPr>
              <w:t>001-40747</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7" w:name="xdx_907_edei--EntityTaxIdentificationNum"/>
            <w:bookmarkEnd w:id="7"/>
            <w:r>
              <w:rPr>
                <w:rFonts w:ascii="Times New Roman;Times;Serif" w:hAnsi="Times New Roman;Times;Serif"/>
                <w:sz w:val="20"/>
              </w:rPr>
              <w:t>46-2069547</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val="false"/>
          <w:i w:val="false"/>
          <w:caps w:val="false"/>
          <w:smallCaps w:val="false"/>
          <w:sz w:val="20"/>
        </w:rPr>
        <w:t xml:space="preserve">1580 North Logan Street, </w:t>
      </w:r>
      <w:bookmarkStart w:id="9" w:name="xdx_903_edei--EntityAddressAddressLine2_"/>
      <w:bookmarkEnd w:id="9"/>
      <w:r>
        <w:rPr>
          <w:rFonts w:ascii="Times New Roman;Times;Serif" w:hAnsi="Times New Roman;Times;Serif"/>
          <w:b w:val="false"/>
          <w:i w:val="false"/>
          <w:caps w:val="false"/>
          <w:smallCaps w:val="false"/>
          <w:sz w:val="20"/>
        </w:rPr>
        <w:t xml:space="preserve">Suite 660, </w:t>
      </w:r>
      <w:bookmarkStart w:id="10" w:name="xdx_901_edei--EntityAddressAddressLine3_"/>
      <w:bookmarkEnd w:id="10"/>
      <w:r>
        <w:rPr>
          <w:rFonts w:ascii="Times New Roman;Times;Serif" w:hAnsi="Times New Roman;Times;Serif"/>
          <w:b w:val="false"/>
          <w:i w:val="false"/>
          <w:caps w:val="false"/>
          <w:smallCaps w:val="false"/>
          <w:sz w:val="20"/>
        </w:rPr>
        <w:t>Unit 51767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xdx_907_edei--EntityAddressCityOrTown_c2"/>
      <w:bookmarkEnd w:id="11"/>
      <w:r>
        <w:rPr>
          <w:rFonts w:ascii="Times New Roman;Times;Serif" w:hAnsi="Times New Roman;Times;Serif"/>
          <w:b w:val="false"/>
          <w:i w:val="false"/>
          <w:caps w:val="false"/>
          <w:smallCaps w:val="false"/>
          <w:sz w:val="20"/>
        </w:rPr>
        <w:t xml:space="preserve">Denver, </w:t>
      </w:r>
      <w:bookmarkStart w:id="12" w:name="xdx_902_edei--EntityAddressStateOrProvin"/>
      <w:bookmarkEnd w:id="12"/>
      <w:r>
        <w:rPr>
          <w:rFonts w:ascii="Times New Roman;Times;Serif" w:hAnsi="Times New Roman;Times;Serif"/>
          <w:b w:val="false"/>
          <w:i w:val="false"/>
          <w:caps w:val="false"/>
          <w:smallCaps w:val="false"/>
          <w:sz w:val="20"/>
        </w:rPr>
        <w:t xml:space="preserve">Colorado </w:t>
      </w:r>
      <w:bookmarkStart w:id="13" w:name="xdx_909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 w:name="xdx_908_edei--CityAreaCode_c20260909__20"/>
      <w:bookmarkEnd w:id="14"/>
      <w:r>
        <w:rPr>
          <w:rFonts w:ascii="Times New Roman;Times;Serif" w:hAnsi="Times New Roman;Times;Serif"/>
          <w:b w:val="false"/>
          <w:i w:val="false"/>
          <w:caps w:val="false"/>
          <w:smallCaps w:val="false"/>
          <w:sz w:val="20"/>
        </w:rPr>
        <w:t xml:space="preserve">516) </w:t>
      </w:r>
      <w:bookmarkStart w:id="15" w:name="xdx_90C_edei--LocalPhoneNumber_c20260909"/>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D_edei--WrittenCommunications_c202"/>
            <w:bookmarkEnd w:id="16"/>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7" w:name="xdx_907_edei--SolicitingMaterial_c202609"/>
            <w:bookmarkEnd w:id="17"/>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1_edei--PreCommencementTenderOffer"/>
            <w:bookmarkEnd w:id="18"/>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2_edei--PreCommencementIssuerTende"/>
            <w:bookmarkEnd w:id="19"/>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Security12bTitle_c20260909"/>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C_edei--TradingSymbol_c20260909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2" w:name="xdx_900_edei--SecurityExchangeName_c2026"/>
            <w:bookmarkEnd w:id="22"/>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0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Backstop Commitment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authID Inc. (the “Company”) entered into a Backstop Commitment Agreement (the “Backstop Agreement”) with certain holders of the Company’s outstanding senior secured debentures (each, a “Commitment Party” and, collectively, the “Commitment Parties”). The senior secured debentures (the “Senior Secured Debentures”) were issued pursuant to that certain Securities Purchase Agreement, dated as of April 29, 2026, by and between the Company and each purchaser named therein (the “April 2026 Purchase Agreement”), together with warrants to purchase shares of the Company’s common stock, par value $0.0001 per share (the “Common Stock”), issued to the holders of the Senior Secured Debentures in connection therewith (the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Backstop Commitment. </w:t>
      </w:r>
      <w:r>
        <w:rPr>
          <w:rFonts w:ascii="Times New Roman;Times;Serif" w:hAnsi="Times New Roman;Times;Serif"/>
          <w:b w:val="false"/>
          <w:i w:val="false"/>
          <w:caps w:val="false"/>
          <w:smallCaps w:val="false"/>
          <w:sz w:val="20"/>
        </w:rPr>
        <w:t>Subject to the terms and conditions of the Backstop Agreement, each Commitment Party has agreed, severally and not jointly, to fund its pro rata share of an aggregate backstop commitment of up to (i) $300,000, if no funding transaction with a third-party strategic investor (or its affiliates) occurs prior to the Company’s next payroll cycle, or (ii) $500,000, if a funding transaction with a third-party strategic investor (or its affiliates) does occur, of which $300,000 may be drawn at any time (to the extent not previously drawn under clause (i)) and the remaining $200,000 may be drawn once fifty percent (50%) of the proceeds contemplated by the Company’s agreement with such third-party strategic investor have been utilized (the applicable amount, the “Backstop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Funding Notice; Closing. </w:t>
      </w:r>
      <w:r>
        <w:rPr>
          <w:rFonts w:ascii="Times New Roman;Times;Serif" w:hAnsi="Times New Roman;Times;Serif"/>
          <w:b w:val="false"/>
          <w:i w:val="false"/>
          <w:caps w:val="false"/>
          <w:smallCaps w:val="false"/>
          <w:sz w:val="20"/>
        </w:rPr>
        <w:t>The Company may call upon the backstop commitment by delivering a written funding notice to each Commitment Party specifying the aggregate amount to be funded by each Commitment Party, subject to the satisfaction or waiver of customary closing conditions. A total of $300,000 was funded on September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Commitment Fee Warrants. </w:t>
      </w:r>
      <w:r>
        <w:rPr>
          <w:rFonts w:ascii="Times New Roman;Times;Serif" w:hAnsi="Times New Roman;Times;Serif"/>
          <w:b w:val="false"/>
          <w:i w:val="false"/>
          <w:caps w:val="false"/>
          <w:smallCaps w:val="false"/>
          <w:sz w:val="20"/>
        </w:rPr>
        <w:t>As consideration for the backstop commitment, and effective upon execution of the Backstop Agreement regardless of whether the Backstop Amount is ultimately funded, the Company agreed to issue to the Commitment Parties, in proportion to their respective pro rata shares, an aggregate of 750,000 warrants to purchase shares of Common Stock (the “Commitment Fee Warrants”). The Commitment Fee Warrants have a term of five years from the date of issuance, are exercisable in whole or in part at any time during their term, are subject to customary adjustment for stock splits, stock dividends, recapitalizations and similar events, and have an exercise price of $0.57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Adjustment of Conversion Price of the Senior Secured Debentures. </w:t>
      </w:r>
      <w:r>
        <w:rPr>
          <w:rFonts w:ascii="Times New Roman;Times;Serif" w:hAnsi="Times New Roman;Times;Serif"/>
          <w:b w:val="false"/>
          <w:i w:val="false"/>
          <w:caps w:val="false"/>
          <w:smallCaps w:val="false"/>
          <w:sz w:val="20"/>
        </w:rPr>
        <w:t>Effective upon execution of the Backstop Agreement, and regardless of whether the Backstop Amount is ultimately funded, the conversion price applicable to all Senior Secured Debentures issued pursuant to the April 2026 Purchase Agreement was fixed at the “Adjusted Conversion Price,” which is $0.38. This adjustment is to be made in accordance with the terms of the Senior Secured Debentures and the April 2026 Purchase Agreement and applies to all Senior Secured Debentures outstanding as of September 9, 2026, regardless of whether such holder is a Commitment Party under the Backstop Agreement, except that any Senior Secured Debenture held by a Director will not be convertible without prior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Repricing of the Existing Warrants. </w:t>
      </w:r>
      <w:r>
        <w:rPr>
          <w:rFonts w:ascii="Times New Roman;Times;Serif" w:hAnsi="Times New Roman;Times;Serif"/>
          <w:b w:val="false"/>
          <w:i w:val="false"/>
          <w:caps w:val="false"/>
          <w:smallCaps w:val="false"/>
          <w:sz w:val="20"/>
        </w:rPr>
        <w:t>Effective upon execution of the Backstop Agreement, and regardless of whether the Backstop Amount is ultimately funded, the exercise price of all Existing Warrants was reduced to $0.57 per share. The Existing Warrants previously had an exercise price of $1.50 per share. This adjustment is made in accordance with the terms of the April 2026 Purchase Agreement, except that the exercise price of any Existing Warrant held by a Director will not be adjusted without prior stockholder approval.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Backstop Debenture. </w:t>
      </w:r>
      <w:r>
        <w:rPr>
          <w:rFonts w:ascii="Times New Roman;Times;Serif" w:hAnsi="Times New Roman;Times;Serif"/>
          <w:b w:val="false"/>
          <w:i w:val="false"/>
          <w:caps w:val="false"/>
          <w:smallCaps w:val="false"/>
          <w:sz w:val="20"/>
        </w:rPr>
        <w:t>If the Backstop Amount is funded in whole or in part, the Company will issue to the Commitment Parties, in proportion to their respective pro rata shares of the amount actually funded, a senior secured debenture in an aggregate principal amount equal to the amount funded (the “Backstop Debenture”). The Backstop Debenture will be effected by way of an amendment to the Commitment Parties’ respective Senior Secured Debentures. The Backstop Debenture will rank pari passu in right of payment and security with the Senior Secured Debentures (subject to the rights of the Strategic Partner described below), will be secured by the same collateral and on the same basis as the Senior Secured Debentures, will bear interest at the same rate as the Senior Secured Debentures, will have a maturity date coterminous with the Senior Secured Debentures and will be subject to the same covenants and events of default as the Senior Secured Debentures, in each case as modified by the Subordination Agreement described below. The Backstop Debenture will be exchangeable, at the option of the holder, into shares of Common Stock at the Adjusted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Subordination Agreement. </w:t>
      </w:r>
      <w:r>
        <w:rPr>
          <w:rFonts w:ascii="Times New Roman;Times;Serif" w:hAnsi="Times New Roman;Times;Serif"/>
          <w:b w:val="false"/>
          <w:i w:val="false"/>
          <w:caps w:val="false"/>
          <w:smallCaps w:val="false"/>
          <w:sz w:val="20"/>
        </w:rPr>
        <w:t>The Company has advised the Commitment Parties that it is proposing to enter into an interim finance agreement with a strategic partner (the “Strategic Partner”). Each Commitment Party has agreed that it will promptly enter into, execute and deliver, upon the Company’s request and subject to review by its counsel, an agreement subordinating its rights under the Senior Secured Debentures and related documents, and its rights under the Backstop Agreement, to the Strategic Partner, and providing certain related consents and waivers to the Company and the Strategic Partner (the “Subordination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Registration Rights. </w:t>
      </w:r>
      <w:r>
        <w:rPr>
          <w:rFonts w:ascii="Times New Roman;Times;Serif" w:hAnsi="Times New Roman;Times;Serif"/>
          <w:b w:val="false"/>
          <w:i w:val="false"/>
          <w:caps w:val="false"/>
          <w:smallCaps w:val="false"/>
          <w:sz w:val="20"/>
        </w:rPr>
        <w:t>The Company agreed to file with the Securities and Exchange Commission (the “SEC”), within thirty days following execution of the Backstop Agreement, a registration statement covering the resale of the shares of Common Stock underlying the Backstop Debenture and the warrants issued pursuant to the Backstop Agreement, and to use commercially reasonable efforts to cause that registration statement to become effective within thirty days following the filing thereof. The Company is required to maintain the effectiveness of the registration statement until the earlier of the date on which all shares covered thereby have been sold and the date on which such shares may be sold without restriction pursuant to Rule 144 under the Securities Act of 1933, as amended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Nasdaq Limitation. </w:t>
      </w:r>
      <w:r>
        <w:rPr>
          <w:rFonts w:ascii="Times New Roman;Times;Serif" w:hAnsi="Times New Roman;Times;Serif"/>
          <w:b w:val="false"/>
          <w:i w:val="false"/>
          <w:caps w:val="false"/>
          <w:smallCaps w:val="false"/>
          <w:sz w:val="20"/>
        </w:rPr>
        <w:t>The Backstop Agreement provides that, in accordance with the terms of the April 2026 Purchase Agreement, the Senior Secured Debentures and the Existing Warrants, the aggregate number of shares of Common Stock issuable pursuant to (a) any security into which the Senior Secured Debentures may be converted or exchanged, (b) any fee shares issued under the April 2026 Purchase Agreement, (c) the Existing Warrants and (d) the Backstop Debenture and the Commitment Fee Warrants may not exceed 19.99% of the number of shares of Common Stock outstanding immediately prior to the date of the April 2026 Purchase Agreement, without stockholder approval in accordance with the applicable rules of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Terms. </w:t>
      </w:r>
      <w:r>
        <w:rPr>
          <w:rFonts w:ascii="Times New Roman;Times;Serif" w:hAnsi="Times New Roman;Times;Serif"/>
          <w:b w:val="false"/>
          <w:i w:val="false"/>
          <w:caps w:val="false"/>
          <w:smallCaps w:val="false"/>
          <w:sz w:val="20"/>
        </w:rPr>
        <w:t>The Backstop Agreement contains customary representations, warranties and covenants of the Company and the Commitment Parties, and provides for indemnification by the Company of the Commitment Parties and their related persons for losses arising out of the Company’s breach of the Backstop Agreement, third-party claims relating to the transactions contemplated thereby and the Company’s failure to comply with applicable law in connection therewith. The Backstop Agreement is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Backstop Agreement do not purport to be complete and are qualified in their entirety by reference to the full text of the Backstop Agreement a copy of which is filed as Exhibit 10.1 to this Current Report on Form 8-K and are incorporated herein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Fee Warrants, the shares of Common Stock issuable upon exercise of the Commitment Fee Warrants, the Backstop Debenture (if and when issued) and the shares of Common Stock issuable upon exchange of the Backstop Debenture were, or will be, issued in reliance upon the exemption from the registration requirements of the Securities Act provided by Section 4(a)(2) thereof and Rule 506(b) of Regulation D promulgated thereunder. Each Commitment Party represented to the Company that it is an “accredited investor” as defined in Rule 501(a) of Regulation D, that it has such knowledge and experience in financial and business matters as to be capable of evaluating the merits and risks of its investment, and that it is acquiring the securities for its own account for investment purposes and not with a view toward distribution in violation of the Securities Act. The securities were offered and sold without any general solicitation or general advertising, and the certificates or instruments representing the securities will bear a legend restricting transfer absent registration or an applicable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 of the conversion price of the Senior Secured Debentures and the reduction of the exercise price of the Existing Warrants described in Item 1.01 were effected in reliance upon the same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89"/>
        <w:gridCol w:w="60"/>
        <w:gridCol w:w="9056"/>
      </w:tblGrid>
      <w:tr>
        <w:trPr/>
        <w:tc>
          <w:tcPr>
            <w:tcW w:w="1089"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905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6" w:type="dxa"/>
            <w:tcBorders/>
            <w:shd w:fill="CCEEFF" w:val="clear"/>
            <w:tcMar>
              <w:bottom w:w="0" w:type="dxa"/>
            </w:tcMar>
            <w:vAlign w:val="center"/>
          </w:tcPr>
          <w:p>
            <w:pPr>
              <w:pStyle w:val="TableContents"/>
              <w:bidi w:val="0"/>
              <w:spacing w:before="0" w:after="283"/>
              <w:jc w:val="both"/>
              <w:rPr/>
            </w:pPr>
            <w:hyperlink w:anchor="ea030560501ex10-1.htm">
              <w:r>
                <w:rPr>
                  <w:rStyle w:val="InternetLink"/>
                  <w:rFonts w:ascii="Times New Roman;Times;Serif" w:hAnsi="Times New Roman;Times;Serif"/>
                  <w:sz w:val="20"/>
                </w:rPr>
                <w:t>Form of Backstop Commitment Agreement, dated as of September 9, 2026, by and among authID Inc. and the Commitment Parties identified therein.</w:t>
              </w:r>
            </w:hyperlink>
          </w:p>
        </w:tc>
      </w:tr>
      <w:tr>
        <w:trPr/>
        <w:tc>
          <w:tcPr>
            <w:tcW w:w="10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1005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Certain schedules, exhibits and similar attachments, and certain personally identifiable information appearing on the signature pages, have been omitted pursuant to Item 601(a)(5) and Item 601(a)(6) of Regulation S-K. The Company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and Section 21E of the Securities Exchange Act of 1934, as amended, including statements regarding the availability and funding of the backstop commitment, the anticipated interim finance agreement with the Strategic Partner and the Subordination Agreement, the issuance and terms of the Backstop Debenture, the Company’s intended registration of the resale of the underlying shares, and the Company’s liquidity and capital resources. These statements are based on the Company’s current expectations and are subject to risks and uncertainties that could cause actual results to differ materially, including that the Company may not satisfy the conditions to funding, that no transaction with a third-party strategic investor may be consummated, that the backstop commitment may be insufficient to meet the Company’s near-term liquidity needs, that the Company’s ability to issue shares is limited by the Nasdaq limitation described above absent stockholder approval, that the registration statement may not be filed or declared effective within the contemplated timeframes, and the risks described under “Risk Factors” in the Company’s Annual Report on Form 10-K for the year ended December 31, 2025 and its subsequent periodic reports filed with the SEC. Except as required by law, the Company undertakes no obligation to update any forward-looking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2510"/>
        <w:gridCol w:w="710"/>
        <w:gridCol w:w="2300"/>
      </w:tblGrid>
      <w:tr>
        <w:trPr/>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September 15, 2026</w:t>
            </w:r>
          </w:p>
        </w:tc>
        <w:tc>
          <w:tcPr>
            <w:tcW w:w="301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authID Inc.</w:t>
            </w:r>
          </w:p>
        </w:tc>
      </w:tr>
      <w:tr>
        <w:trPr/>
        <w:tc>
          <w:tcPr>
            <w:tcW w:w="251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Thomas R. Szoke</w:t>
            </w:r>
          </w:p>
        </w:tc>
      </w:tr>
      <w:tr>
        <w:trPr/>
        <w:tc>
          <w:tcPr>
            <w:tcW w:w="25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Thomas R. Szoke</w:t>
            </w:r>
          </w:p>
        </w:tc>
      </w:tr>
      <w:tr>
        <w:trPr/>
        <w:tc>
          <w:tcPr>
            <w:tcW w:w="25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560501ex10-1.htm"/>
      <w:bookmarkStart w:id="25" w:name="ksea030560501ex101"/>
      <w:bookmarkEnd w:id="24"/>
      <w:bookmarkEnd w:id="2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BACKSTOP COMMITMENT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PARTIES IDENTIFIED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BACKSTOP COMMITMENT AGREEMENT </w:t>
      </w:r>
      <w:r>
        <w:rPr>
          <w:rFonts w:ascii="Times New Roman;Times;Serif" w:hAnsi="Times New Roman;Times;Serif"/>
          <w:b w:val="false"/>
          <w:i w:val="false"/>
          <w:caps w:val="false"/>
          <w:smallCaps w:val="false"/>
          <w:sz w:val="20"/>
        </w:rPr>
        <w:t>(this “Agreement”) is entered into as of 9, 2026, by and among authID Inc., a Delaware corporation (the “Company” or “AUID”), and the several parties identified on the signature pages hereto (each, a “Commitment Party” and collectively, the “Commitment Parties”). The Company and the Commitment Parties are referred to herein individually as a “Party” and collectively as the “Parties.”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issued certain Senior Secured Debentures (the “SSBs” or “Senior Secured Bonds”) pursuant to that certain Securities Purchase Agreement, dated as of April 29, 2026 (the “SPA”), between the Company and each debenture holder named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SSBs, the Company issued certain warrants to the holders of the SSBs (the “Existing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Commitment Parties are holders of the SSBs (the “Senior Secured Bondholders”);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obtain a backstop commitment from the Commitment Parties to fund up to (a) Three Hundred Thousand Dollars ($300,000.00) if no transaction with a third-party strategic investor (or its affiliates) occurs (which shall be prior to the Company’s next pay roll cycle) or (b) if a funding transaction with a third-party strategic investor (or its affiliates) occurs, Five Hundred Thousand Dollars ($500,000) as to which Three Hundred Thousand Dollars ($300,000.00) may be drawn down at any time (unless it has already been drawn under paragraph (a)) and the balance of Two Hundred Thousand Dollars ($200,000.00) may be drawn down when fifty percent (50%) of the proceeds contemplated under the Company’s agreement with a third-party strategic investor (or its affiliates) have been utilized.(the applicable amount the “Backstop Amount”) on the terms and subject to the conditions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Commitment Parties are willing to provide such backstop commitment in exchange for the consideration described herein, including the issuance of Commitment Fee Warrants, certain adjustments to the conversion price of the SSBs, and the restriking of the Existing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if the Backstop Amount is funded, the Company shall issue to the Commitment Parties a senior secured debenture ranking pari passu with the SSBs, exchangeable at the Commitment Parties option into shares of AUID Stock at the Adjusted Conversion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is proposing to enter into an interim finance agreement with a strategic partner (“Strategic Partner”) and the Commitment Parties will agree to enter into an agreement to subordinate their rights under the SSBs and related documents and their rights under this Agreement to Strategic Partner and provide certain consents and waivers to the Company and Strategic Partner in relation thereto (“Subordination Agreement”);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memorialize the terms and conditions upon which the Commitment Parties will provide such backstop commitment.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mutual covenants and agreements herein contained and other good and valuable consideration, the receipt and sufficiency of which are hereby acknowledged, the Parties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Conversion Price”</w:t>
      </w:r>
      <w:r>
        <w:rPr>
          <w:rFonts w:ascii="Times New Roman;Times;Serif" w:hAnsi="Times New Roman;Times;Serif"/>
          <w:b w:val="false"/>
          <w:i w:val="false"/>
          <w:caps w:val="false"/>
          <w:smallCaps w:val="false"/>
          <w:sz w:val="20"/>
        </w:rPr>
        <w:t xml:space="preserve"> means the lesser of (x) $0.38 per share or (y) the lowest closing price per share of AUID Stock on any Trading Day during the period of five Trading Days prior to the date of execution of this Agreement, as reported on the principal national securities exchange on which the AUID Stock is then listed or admitted to trading.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has the meaning set forth in the Preamble.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AUID Stock”</w:t>
      </w:r>
      <w:r>
        <w:rPr>
          <w:rFonts w:ascii="Times New Roman;Times;Serif" w:hAnsi="Times New Roman;Times;Serif"/>
          <w:b w:val="false"/>
          <w:i w:val="false"/>
          <w:caps w:val="false"/>
          <w:smallCaps w:val="false"/>
          <w:sz w:val="20"/>
        </w:rPr>
        <w:t xml:space="preserve"> means the common stock, par value $0.0001 per share, of the Company (ticker symbol: AUID).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Backstop Amount”</w:t>
      </w:r>
      <w:r>
        <w:rPr>
          <w:rFonts w:ascii="Times New Roman;Times;Serif" w:hAnsi="Times New Roman;Times;Serif"/>
          <w:b w:val="false"/>
          <w:i w:val="false"/>
          <w:caps w:val="false"/>
          <w:smallCaps w:val="false"/>
          <w:sz w:val="20"/>
        </w:rPr>
        <w:t xml:space="preserve"> means (a) Three Hundred Thousand Dollars ($300,000.00) if no transaction with a third-party strategic investor (or its affiliates) occurs (which shall be prior to the Company’s next pay roll cycle) or (b) if a funding transaction with a third-party strategic investor (or its affiliates) occurs, Five Hundred Thousand Dollars ($500,000) as to which Three Hundred Thousand Dollars ($300,000.00) may be drawn down at any time (unless it has already been drawn under paragraph (a)) and the balance of Two Hundred Thousand Dollars ($200,000.00) may be drawn down when fifty percent (50%) of the proceeds contemplated under the Company’s agreement with a third-party strategic investor (or its affiliates) have been utilized.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Backstop Commitment”</w:t>
      </w:r>
      <w:r>
        <w:rPr>
          <w:rFonts w:ascii="Times New Roman;Times;Serif" w:hAnsi="Times New Roman;Times;Serif"/>
          <w:b w:val="false"/>
          <w:i w:val="false"/>
          <w:caps w:val="false"/>
          <w:smallCaps w:val="false"/>
          <w:sz w:val="20"/>
        </w:rPr>
        <w:t xml:space="preserve"> has the meaning set forth in Section 2.1.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Backstop Debenture”</w:t>
      </w:r>
      <w:r>
        <w:rPr>
          <w:rFonts w:ascii="Times New Roman;Times;Serif" w:hAnsi="Times New Roman;Times;Serif"/>
          <w:b w:val="false"/>
          <w:i w:val="false"/>
          <w:caps w:val="false"/>
          <w:smallCaps w:val="false"/>
          <w:sz w:val="20"/>
        </w:rPr>
        <w:t xml:space="preserve"> means the senior secured debenture to be issued by the Company to the Commitment Parties in the event the Backstop Amount is funded, as more fully described in Article IV.</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Sunday, or any day on which banking institutions in the State of New York are authorized or required by law or other governmental action to close.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Section 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Section 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Fee Warrants”</w:t>
      </w:r>
      <w:r>
        <w:rPr>
          <w:rFonts w:ascii="Times New Roman;Times;Serif" w:hAnsi="Times New Roman;Times;Serif"/>
          <w:b w:val="false"/>
          <w:i w:val="false"/>
          <w:caps w:val="false"/>
          <w:smallCaps w:val="false"/>
          <w:sz w:val="20"/>
        </w:rPr>
        <w:t xml:space="preserve"> means the warrants to be issued to the Commitment Parties as consideration for the Backstop Commitment, consisting of 750,000 five-year warrants to purchase shares of AUID Stock at an exercise price equal to the lesser of (x) $0.57 per share or (y) 1.5 times the Adjusted Conversion Price.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 Party” or “Commitment Parties”</w:t>
      </w:r>
      <w:r>
        <w:rPr>
          <w:rFonts w:ascii="Times New Roman;Times;Serif" w:hAnsi="Times New Roman;Times;Serif"/>
          <w:b w:val="false"/>
          <w:i w:val="false"/>
          <w:caps w:val="false"/>
          <w:smallCaps w:val="false"/>
          <w:sz w:val="20"/>
        </w:rPr>
        <w:t xml:space="preserve"> has the meaning set forth in the Preamble.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has the meaning set forth in the Preamble.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Conditions Precedent”</w:t>
      </w:r>
      <w:r>
        <w:rPr>
          <w:rFonts w:ascii="Times New Roman;Times;Serif" w:hAnsi="Times New Roman;Times;Serif"/>
          <w:b w:val="false"/>
          <w:i w:val="false"/>
          <w:caps w:val="false"/>
          <w:smallCaps w:val="false"/>
          <w:sz w:val="20"/>
        </w:rPr>
        <w:t xml:space="preserve"> has the meaning set forth in Article VIII.</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Warrants”</w:t>
      </w:r>
      <w:r>
        <w:rPr>
          <w:rFonts w:ascii="Times New Roman;Times;Serif" w:hAnsi="Times New Roman;Times;Serif"/>
          <w:b w:val="false"/>
          <w:i w:val="false"/>
          <w:caps w:val="false"/>
          <w:smallCaps w:val="false"/>
          <w:sz w:val="20"/>
        </w:rPr>
        <w:t xml:space="preserve"> means all warrants issued to holders of the SSBs in connection with or pursuant to the SPA.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Funding Notice”</w:t>
      </w:r>
      <w:r>
        <w:rPr>
          <w:rFonts w:ascii="Times New Roman;Times;Serif" w:hAnsi="Times New Roman;Times;Serif"/>
          <w:b w:val="false"/>
          <w:i w:val="false"/>
          <w:caps w:val="false"/>
          <w:smallCaps w:val="false"/>
          <w:sz w:val="20"/>
        </w:rPr>
        <w:t xml:space="preserve"> has the meaning set forth in Section 2.3.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xml:space="preserve"> means any federal, state, local, or foreign government or political subdivision thereof, or any agency or instrumentality of such government or political subdivision, or any self-regulated organization or other non-governmental regulatory authority, or any court, tribunal, or arbitrator.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xml:space="preserve"> has the meaning set forth in Section 10.1.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xml:space="preserve"> means any mortgage, pledge, hypothecation, assignment, deposit arrangement, encumbrance, lien (statutory or other), charge, or preference, priority, or other security interest or preferential arrangement of any kind or nature whatsoever.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any event, circumstance, development, change, or effect that, individually or in the aggregate, has had or would reasonably be expected to have a material adverse effect on (a) the business, operations, properties, assets, liabilities, condition (financial or otherwise), or results of operations of the Company, or (b) the ability of the Company to perform its obligations under this Agreement or to consummate the transactions contemplated hereby.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Party” or “Parties”</w:t>
      </w:r>
      <w:r>
        <w:rPr>
          <w:rFonts w:ascii="Times New Roman;Times;Serif" w:hAnsi="Times New Roman;Times;Serif"/>
          <w:b w:val="false"/>
          <w:i w:val="false"/>
          <w:caps w:val="false"/>
          <w:smallCaps w:val="false"/>
          <w:sz w:val="20"/>
        </w:rPr>
        <w:t xml:space="preserve"> has the meaning set forth in the Preamble.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means any individual, corporation, partnership, limited liability company, joint venture, association, trust, unincorporated organization, Governmental Authority, or other entity.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xml:space="preserve"> means, with respect to each Commitment Party, the percentage set forth opposite such Commitment Party’s name on the signature pages hereto; provided that the aggregate Pro Rata Shares of all Commitment Parties shall equal 100%.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Restruck Exercise Price”</w:t>
      </w:r>
      <w:r>
        <w:rPr>
          <w:rFonts w:ascii="Times New Roman;Times;Serif" w:hAnsi="Times New Roman;Times;Serif"/>
          <w:b w:val="false"/>
          <w:i w:val="false"/>
          <w:caps w:val="false"/>
          <w:smallCaps w:val="false"/>
          <w:sz w:val="20"/>
        </w:rPr>
        <w:t xml:space="preserve"> means an exercise price equal to the lesser of (x) $0.57 per share or (y) 1.5 times the Adjusted Conversion Price.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means the United States Securities and Exchange Commission.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means the Securities Act of 1933,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Secured Bonds” or “SSBs”</w:t>
      </w:r>
      <w:r>
        <w:rPr>
          <w:rFonts w:ascii="Times New Roman;Times;Serif" w:hAnsi="Times New Roman;Times;Serif"/>
          <w:b w:val="false"/>
          <w:i w:val="false"/>
          <w:caps w:val="false"/>
          <w:smallCaps w:val="false"/>
          <w:sz w:val="20"/>
        </w:rPr>
        <w:t xml:space="preserve"> means the Senior Secured Debentures issued by the Company pursuant to the SPA, dated as of April 29,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Subordination Agreement” </w:t>
      </w:r>
      <w:r>
        <w:rPr>
          <w:rFonts w:ascii="Times New Roman;Times;Serif" w:hAnsi="Times New Roman;Times;Serif"/>
          <w:b w:val="false"/>
          <w:i w:val="false"/>
          <w:caps w:val="false"/>
          <w:smallCaps w:val="false"/>
          <w:sz w:val="20"/>
        </w:rPr>
        <w:t>has the meaning set forth in the recitals hereto.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principal national securities exchange on which the AUID Stock is listed is open for trading.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has the meaning set forth in Section 9.1.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xml:space="preserve"> means, collectively, this Agreement, the Backstop Debenture (if issued), the Commitment Fee Warrants, and any other documents, agreements, or instruments executed or delivered in connection with the transactions contemplated hereby.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 a term has the meaning assigned to it; (b) “or” is not exclusive; (c) words in the singular include the plural and vice versa; (d) “herein,” “hereof,” and words of similar import refer to this Agreement as a whole and not to any particular Article, Section, or other subdivision; (e) all references to Articles, Sections, Exhibits, and Schedules are to Articles, Sections, Exhibits, and Schedules of this Agreement; and (f) all references to “$” are to United States dollars.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BACKSTOP COMMITMENT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 The Backstop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this Agreement, each Commitment Party hereby agrees, severally and not jointly, to fund its Pro Rata Share of the applicable Backstop Amount in the event that the Company delivers a Funding Notice in accordance with Section 2.3 (the “Backstop Commitment”). The aggregate Backstop Commitment of all Commitment Parties shall not exceed (a) Three Hundred Thousand Dollars ($300,000.00) if no transaction with a third-party strategic investor (or its affiliates) occurs (which shall be prior to the Company’s next pay roll cycle) or (b) if a funding transaction with a third-party strategic investor (or its affiliates) occurs, Five Hundred Thousand Dollars ($500,000) as to which Three Hundred Thousand Dollars ($300,000.00) may be drawn down at any time (unless it has already been drawn under paragraph (a)) and the balance of Two Hundred Thousand Dollars ($200,000.00) may be drawn down when fifty percent (50%) of the proceeds contemplated under the Company’s agreement with a third-party strategic investor (or its affiliates) have been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Several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Commitment Party under this Agreement are several and not joint. No Commitment Party shall be responsible for any other Commitment Party’s failure to fund its Pro Rata Share of the Backstop Amount. The failure of any Commitment Party to fund its Pro Rata Share shall not relieve any other Commitment Party of its obligation to fund its own Pro Rata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 Funding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call upon the Backstop Commitment by delivering a written notice (the “Funding Notice”) to each Commitment Party, which Funding Notice shall specify (i) the aggregate amount to be funded (up to the applicable Backstop Amount), (ii) each Commitment Party’s Pro Rata Share of the amount to be funded, (iii) the proposed funding date (which shall be no earlier than two (2) Business Days after delivery of the Funding Notice), and (iv) wire transfer instructions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receipt of a Funding Notice, each Commitment Party shall fund its Pro Rata Share by wire transfer of immediately available funds to the account designated by the Company on or before the funding date specified in the Funding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2.4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funding of the Backstop Amount (the “Closing”) shall occur on the date specified in the Funding Notice (the “Closing Date”), subject to the satisfaction or waiver of the conditions set forth in Article VIII. At the Closing, the Company shall deliver to each Commitment Party its Pro Rata Share of the Backstop Debenture as described in 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2.5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Party agrees that it will promptly enter into, execute and deliver the Subordination Agreement, upon the Company’s request, subject to review of the Subordination Agreement by Commitment Party’s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 FEE AND CONSIDERATION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 Commitment Fee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consideration of the Backstop Commitment, effective upon execution of this Agreement and regardless of whether the Backstop Amount is ultimately funded, the Company shall issue to the Commitment Parties (in proportion to their respective Pro Rata Shares) an aggregate of 750,000 warrants (the “Commitment Fee Warrants”) to purchase shares of AUID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Commitment Fee Warrants shall have the following terms:</w:t>
      </w:r>
    </w:p>
    <w:p>
      <w:pPr>
        <w:pStyle w:val="TextBody"/>
        <w:bidi w:val="0"/>
        <w:spacing w:before="0" w:after="0"/>
        <w:ind w:left="72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3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445" w:type="dxa"/>
            <w:tcBorders/>
            <w:vAlign w:val="center"/>
          </w:tcPr>
          <w:p>
            <w:pPr>
              <w:pStyle w:val="TableContents"/>
              <w:bidi w:val="0"/>
              <w:spacing w:before="0" w:after="283"/>
              <w:jc w:val="both"/>
              <w:rPr/>
            </w:pPr>
            <w:r>
              <w:rPr/>
              <w:t>Term: Five (5) years from the date of issuance;</w:t>
            </w:r>
          </w:p>
        </w:tc>
      </w:tr>
    </w:tbl>
    <w:p>
      <w:pPr>
        <w:pStyle w:val="TextBody"/>
        <w:bidi w:val="0"/>
        <w:spacing w:before="0" w:after="0"/>
        <w:ind w:left="72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29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080" w:type="dxa"/>
            <w:tcBorders/>
            <w:vAlign w:val="center"/>
          </w:tcPr>
          <w:p>
            <w:pPr>
              <w:pStyle w:val="TableContents"/>
              <w:bidi w:val="0"/>
              <w:spacing w:before="0" w:after="283"/>
              <w:jc w:val="both"/>
              <w:rPr/>
            </w:pPr>
            <w:r>
              <w:rPr/>
              <w:t>Exercise Price: The lesser of (x) $0.57 per share or (y) 1.5 times the Adjusted Conversion Price;</w:t>
            </w:r>
          </w:p>
        </w:tc>
      </w:tr>
    </w:tbl>
    <w:p>
      <w:pPr>
        <w:pStyle w:val="TextBody"/>
        <w:bidi w:val="0"/>
        <w:spacing w:before="0" w:after="0"/>
        <w:ind w:left="72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35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920" w:type="dxa"/>
            <w:tcBorders/>
            <w:vAlign w:val="center"/>
          </w:tcPr>
          <w:p>
            <w:pPr>
              <w:pStyle w:val="TableContents"/>
              <w:bidi w:val="0"/>
              <w:spacing w:before="0" w:after="283"/>
              <w:jc w:val="both"/>
              <w:rPr/>
            </w:pPr>
            <w:r>
              <w:rPr/>
              <w:t>Exercise: Exercisable in whole or in part at any time during the term;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(iv)</w:t>
            </w:r>
          </w:p>
        </w:tc>
        <w:tc>
          <w:tcPr>
            <w:tcW w:w="9827" w:type="dxa"/>
            <w:tcBorders/>
            <w:vAlign w:val="center"/>
          </w:tcPr>
          <w:p>
            <w:pPr>
              <w:pStyle w:val="TableContents"/>
              <w:bidi w:val="0"/>
              <w:spacing w:before="0" w:after="283"/>
              <w:jc w:val="both"/>
              <w:rPr/>
            </w:pPr>
            <w:r>
              <w:rPr/>
              <w:t>Adjustments: Subject to customary adjustments for stock splits, stock dividends, recapitalizations, and similar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Commitment Fee Warrants shall be issued within five (5) Business Days following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3.2 Setting of Conversion Price of SSBs.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upon execution of this Agreement and regardless of whether the Backstop Amount is ultimately funded, the conversion price applicable to all Senior Secured Bonds previously issued pursuant to the SPA shall be fixed as the Adjusted Conversion Price (as defined in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within five (5) Business Days following the execution of this Agreement, deliver to each holder of an SSB a written notice of such conversion price and shall take all actions necessary to effectuate such fixing of the conversion price, including without limitation executing any supplemental indenture or amendment to the SSB required to give effect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fixing of the conversion price pursuant to this Section 3.2 shall apply to all SSBs outstanding as of the date hereof, regardless of the identity of the holder thereof and regardless of whether such holder is a Commitment Party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3.3 Restriking of Existing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upon execution of this Agreement and regardless of whether the Backstop Amount is ultimately funded, the exercise price of all Existing Warrants issued in association with the SSBs shall be reduced to the Restruck Exercise Price (i.e., the lesser of (x) $0.57 per share or (y) 1.5 times the Adjusted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within five (5) Business Days following the execution of this Agreement, deliver to the holders of all Existing Warrants written notice of such exercise price adjustment and shall take all actions necessary to effectuate such adjustment, including amending any warrant agreement or certificate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restriking of the Existing Warrants pursuant to this Section 3.3 shall apply to the Existing Warrants outstanding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3.4 Obligations Independent of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set forth in Sections 3.1, 3.2, and 3.3 are unconditional and shall become effective upon execution of this Agreement. Such obligations shall not be conditioned upon, and shall survive regardless of, whether the Backstop Amount is ever funded or any Funding Notice is ever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3.5 Nasdaq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and in accordance with the terms of the SPA, the SSBs and the Existing Warrants the aggregate of (a) any shares of Common Stock issuable pursuant to any security into which the SSBs may be converted or exchanged and (b) any Fee Shares issued under the SPA and (c) any shares of Common Stock issuable under the Existing Warrants (d) any shares of Common Stock issuable pursuant to the Backstop Debenture and the Commitment Fee Warrants shall not exceed 19.99% of the number of shares of Common Stock outstanding immediately prior to the date of the SPA, without stockholder consent in accordance with Nasdaq rules.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FUNDED BACKSTOP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 Backstop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the Backstop Amount is funded in whole or in part, the Company shall issue to the Commitment Parties (in proportion to their respective Pro Rata Shares of the amount actually funded) a senior secured debenture (the “Backstop Debenture”) in aggregate principal amount equal to the amount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Backstop Debenture shall:</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rank pari passu in right of payment and security with the SSBs but be subject to the rights of Strategic Partner in accordance with the terms of the Subordination Agreement;</w:t>
            </w:r>
          </w:p>
        </w:tc>
      </w:tr>
    </w:tbl>
    <w:p>
      <w:pPr>
        <w:pStyle w:val="TextBody"/>
        <w:bidi w:val="0"/>
        <w:spacing w:before="0" w:after="0"/>
        <w:ind w:left="720" w:right="0" w:hanging="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29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500" w:type="dxa"/>
            <w:tcBorders/>
            <w:vAlign w:val="center"/>
          </w:tcPr>
          <w:p>
            <w:pPr>
              <w:pStyle w:val="TableContents"/>
              <w:bidi w:val="0"/>
              <w:spacing w:before="0" w:after="283"/>
              <w:jc w:val="both"/>
              <w:rPr/>
            </w:pPr>
            <w:r>
              <w:rPr/>
              <w:t>be secured by the same collateral and on the same basis as the SSBs;</w:t>
            </w:r>
          </w:p>
        </w:tc>
      </w:tr>
    </w:tbl>
    <w:p>
      <w:pPr>
        <w:pStyle w:val="TextBody"/>
        <w:bidi w:val="0"/>
        <w:spacing w:before="0" w:after="0"/>
        <w:ind w:left="720" w:right="0" w:hanging="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35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3935" w:type="dxa"/>
            <w:tcBorders/>
            <w:vAlign w:val="center"/>
          </w:tcPr>
          <w:p>
            <w:pPr>
              <w:pStyle w:val="TableContents"/>
              <w:bidi w:val="0"/>
              <w:spacing w:before="0" w:after="283"/>
              <w:jc w:val="both"/>
              <w:rPr/>
            </w:pPr>
            <w:r>
              <w:rPr/>
              <w:t>bear interest at the same rate as the SSBs;</w:t>
            </w:r>
          </w:p>
        </w:tc>
      </w:tr>
    </w:tbl>
    <w:p>
      <w:pPr>
        <w:pStyle w:val="TextBody"/>
        <w:bidi w:val="0"/>
        <w:spacing w:before="0" w:after="0"/>
        <w:ind w:left="720" w:right="0" w:hanging="0"/>
        <w:jc w:val="left"/>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35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9395" w:type="dxa"/>
            <w:tcBorders/>
            <w:vAlign w:val="center"/>
          </w:tcPr>
          <w:p>
            <w:pPr>
              <w:pStyle w:val="TableContents"/>
              <w:bidi w:val="0"/>
              <w:spacing w:before="0" w:after="283"/>
              <w:jc w:val="both"/>
              <w:rPr/>
            </w:pPr>
            <w:r>
              <w:rPr/>
              <w:t>have a maturity date coterminous with the SSBs, as modified by the Subordination Agreement;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(v)</w:t>
            </w:r>
          </w:p>
        </w:tc>
        <w:tc>
          <w:tcPr>
            <w:tcW w:w="9895" w:type="dxa"/>
            <w:tcBorders/>
            <w:vAlign w:val="center"/>
          </w:tcPr>
          <w:p>
            <w:pPr>
              <w:pStyle w:val="TableContents"/>
              <w:bidi w:val="0"/>
              <w:spacing w:before="0" w:after="283"/>
              <w:jc w:val="both"/>
              <w:rPr/>
            </w:pPr>
            <w:r>
              <w:rPr/>
              <w:t>be subject to the same covenants and events of default as the SSBs, mutatis mutandis as modified by the Subordination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Backstop Debenture shall be issued pursuant to a separate instrument, in form and substance reasonably acceptable to the Commitment Parties, that evidences its pari passu ranking with the SSBs, subject to the rights of Strategic Partner in accordance with the terms of the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4.3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within thirty (30) days following the execution of this Agreement, file a registration statement with the SEC covering the resale of such shares underlying the newly issued Debentures and shares underlying the warrants issued, pursuant to this Agreement. The Company shall use commercially reasonable efforts to cause such registration statement to become effective within thirty (30) days following the filing thereof. The Company shall maintain the effectiveness of such registration statement until the earlier of (i) the date on which all shares covered thereby have been sold or (ii) the date on which such shares may be sold without restriction pursuant to Rule 144 under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 Organization and Good 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corporation duly organized, validly existing, and in good standing under the laws of the State of Delaware, with full corporate power and authority to own, lease, and operate its properties and to carry on its business as presently conducted and as proposed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5.2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 requisite corporate power and authority to execute, deliver, and perform its obligations under this Agreement and the other Transaction Documents. The execution, delivery, and performance of this Agreement and the other Transaction Documents by the Company have been duly authorized by all necessary corporate action on the part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5.3 No Conflicts.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Company of this Agreement and the other Transaction Documents, and the consummation of the transactions contemplated hereby and thereby, do not and will not (a) conflict with or result in a breach of the certificate of incorporation or bylaws of the Company, (b) violate any law, rule, regulation, order, judgment, or decree applicable to the Company, or (c) conflict with, result in a breach of, constitute a default under, or require any consent under any material agreement to which the Company is a party, except, in the case of clauses (b) and (c),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5.4 Valid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Fee Warrants, when issued in accordance with this Agreement, will be duly authorized, validly issued, and constitute binding obligations of the Company. The shares of AUID Stock issuable upon exercise of the Commitment Fee Warrants or upon exchange of the Backstop Debenture, when issued in accordance with their respective terms, will be duly authorized, validly issued, fully paid, and non-assessable, and free and clear of all Liens (other than restrictions on transfer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5.5 SEC Filings;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timely filed all reports, schedules, forms, statements, and other documents required to be filed by it with the SEC. The financial statements included in such filings comply in all material respects with applicable accounting requirements and fairly present in all material respects the financial position of the Company as of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5.6 No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the most recent audited financial statements of the Company filed with the SEC, no Material Adverse Effect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5.7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and outstanding capital stock of the Company is as set forth in the Company’s most recent filing with the SEC. All outstanding shares of AUID Stock are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5.8 Compliance with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compliance in all material respects with all applicable laws, rules, regulations, orders, judgments, and decrees of any Governmental Authority, except where the failure to be in compliance would not reasonably be expected to have a Material Adverse Effect.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COMMITMENT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Party represents and warrants that it is duly organized, validly existing, and in good standing under the laws of its jurisdiction of organization (or, if a natural person, is of legal age and competent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6.2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Party represents and warrants that it has all requisite power and authority to execute, deliver, and perform its obligations under this Agreement. The execution, delivery, and performance of this Agreement by such Commitment Party has been duly authorized by all necessary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6.3 Accredited Investor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Party represents and warrants that it is an “accredited investor” as defined in Rule 501(a) of Regulation 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6.4 Investment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Party represents and warrants that it is acquiring the Commitment Fee Warrants (and any securities issuable upon exercise or exchange thereof) for its own account for investment purposes and not with a view toward distribution in violation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6.5 Sophistication.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Party represents and warrants that it has such knowledge and experience in financial and business matters as to be capable of evaluating the merits and risks of its investment in the securities contemplated hereby and is able to bear the economic risk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6.6 Ownership of SSBs.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Party represents and warrants that, as of the date hereof, it is the beneficial owner of the principal amount of SSBs set forth opposite its name on the signature pages hereto.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 Commercially Reasonable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use its commercially reasonable efforts to take, or cause to be taken, all actions and to do, or cause to be done, all things necessary, proper, or advisable under applicable law to consummate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7.2 Further Assurances.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execute and deliver such additional documents, instruments, and agreements, and take such further actions, as may be reasonably necessary or appropriate to effectuate, carry out, and comply with all of the terms of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7.3 Regulatory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make all filings with the SEC and any other Governmental Authority that are required to be made in connection with the transactions contemplated by this Agreement, including without limitation any Current Report on Form 8-K and any required amendments to existing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7.4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the proceeds of any funding of the Backstop Amount for general corporate purposes and working capital, unless otherwise agreed in writing by the Commitment Parties holding a majority of the aggregate Pro Rata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7.5 Reservation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free from preemptive rights, a sufficient number of authorized but unissued shares of AUID Stock to effect the exercise of all outstanding Commitment Fee Warrants and the exchange of the Backstop Debenture (if issued) at the applicable exchange or exercise prices.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 Conditions to Obligations of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consummate the Closing shall be subject to the satisfaction or waiver of the following conditions: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Governmental Authority shall have enacted, issued, promulgated, enforced, or entered any order, law, rule, regulation, judgment, or decree that is in effect and that restrains, enjoins, or otherwise prohibits the consummation of the transactions contemplated hereby.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action, suit, or proceeding shall be pending before any Governmental Authority seeking to restrain or prohibit the consummation of the transactions contemplated hereby.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8.2 Conditions to Obligations of the Commitment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Commitment Parties to fund the Backstop Amount at the Closing shall be subject to the satisfaction or waiver of the following additional conditions: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Company set forth in Article V shall be true and correct in all material respects as of the Closing Date (except for representations that speak as of a specific date, which shall be true and correct as of such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performed and complied in all material respects with all covenants and agreements required to be performed by it under this Agreement on or prior to the Closing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Material Adverse Effect shall have occurred since the date of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issued the Commitment Fee Warrants to the Commitment Parties in accordance with Section 3.1.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Commitment Parties a certificate, dated as of the Closing Date and signed by an authorized officer of the Company, certifying that the conditions set forth in this Section 8.2 have been satisfied.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8.3 Conditions to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to issue the Backstop Debenture at the Closing shall be subject to the satisfaction or waiver of the following additional conditions: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Commitment Parties set forth in Article VI shall be true and correct in all material respects as of the Closing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Commitment Party shall have funded its Pro Rata Share of the Backstop Amount in accordance with Section 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9.1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prior to the Closing (the date of such termination, the “Termination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the Company and the Commitment Parties holding a majority of the aggregate Pro Rata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any Commitment Party if the Closing shall not have occurred on or before the date that is one hundred eighty (180) days after the date of this Agreement (or such later date as may be agreed in writing by the Parties); provided that the right to terminate under this clause shall not be available to any Party whose breach of this Agreement has been the principal cause of the failure of the Closing to occur;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Company, if any Commitment Party shall have breached any representation, warranty, covenant, or agreement contained in this Agreement, and such breach would result in the failure of a condition set forth in Section 8.3 and is not curable or, if curable, is not cured within thirty (30) days after written notice thereof;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any Commitment Party, if the Company shall have breached any representation, warranty, covenant, or agreement contained in this Agreement, and such breach would result in the failure of a condition set forth in Section 8.2 and is not curable or, if curable, is not cured within thirty (30) days after written notice thereof; 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either the Company or any Commitment Party if any Governmental Authority shall have issued a final, non-appealable order restraining, enjoining, or otherwise prohibiting the transactions contemplated hereby.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9.2 Effect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termination of this Agreement pursuant to Section 9.1, this Agreement shall become void and of no further force and effect, and no Party shall have any liability to any other Party; provided, however, that (a) the provisions of Sections 3.1, 3.2, 3.3, and 3.4 (Commitment Fee and Consideration), Article X (Indemnification), and Article XI (Miscellaneous) shall survive any termination of this Agreement; and (b) nothing herein shall relieve any Party from liability for any willful and material breach of this Agreement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9.3 Survival of Commitment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Commitment Fee Warrants, the reduction of the conversion price of the SSBs, and the restriking of the Existing Warrants pursuant to Article III are earned and effective upon execution of this Agreement and shall not be affected by any termination of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Indemnification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defend, and hold harmless each Commitment Party and its affiliates, directors, officers, employees, agents, and representatives (each, an “Indemnified Person”) from and against any and all losses, claims, damages, liabilities, penalties, judgments, settlements, costs, and expenses (including reasonable and documented attorneys’ fees and expenses) arising out of or resulting from (a) any breach by the Company of any representation, warranty, covenant, or agreement contained in this Agreement; (b) any action, suit, or proceeding brought by a third party arising out of or relating to the transactions contemplated by this Agreement (other than any such action, suit, or proceeding resulting from the gross negligence or willful misconduct of such Indemnified Person); or (c) the Company’s failure to comply with any applicable law in connection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Indemnification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Person seeking indemnification shall promptly notify the Company in writing of any claim giving rise to an indemnity obligation; provided that any failure to so notify shall not relieve the Company of its indemnity obligations except to the extent the Company is materially prejudiced by such failure. The Company shall have the right to assume the defense of any such claim, at its own expense, with counsel reasonably satisfactory to the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Limitation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in no event shall the Company be liable to any Indemnified Person for any punitive, exemplary, or consequential damages, except to the extent such damages are payable to a third party in connection with a third-party claim for which indemnification is sought 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 without giving effect to any choice or conflict of law provision or rule that would cause the application of the laws of any jurisdiction other than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11.2 Jurisdiction; 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irrevocably submits to the exclusive jurisdiction of the courts of the State of New York sitting in the Borough of Manhattan (or, if such courts decline to accept jurisdiction, any federal court located in the Southern District of New York) for the purposes of any action, suit, or proceeding arising out of or relating to this Agreement, and hereby waives, and agrees not to assert, any defense of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11.3 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HEREBY IRREVOCABLY WAIVES, TO THE FULLEST EXTENT PERMITTED BY APPLICABLE LAW, ANY RIGHT IT MAY HAVE TO A TRIAL BY JURY IN ANY ACTION, SUIT,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11.4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under this Agreement shall be in writing and shall be deemed to have been duly given (a) on the date of delivery if delivered personally or by email (with confirmation of receipt), (b) on the first Business Day following the date of dispatch if delivered by a nationally recognized overnight courier, or (c) on the third Business Day following the date of mailing if mailed by registered or certified mail, return receipt requested, postage prepaid: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1580 N. Logan St, Suite 660, Unit 51767,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Denver, Colorado 80203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 General Counsel</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legal@authid.ai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Commitment Party, to the address set forth on the signature pages hereto.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11.5 Amendments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Agreement may be amended, modified, supplemented, or waived except by an instrument in writing signed by the Company and the Commitment Parties holding a majority of the aggregate Pro Rata Shares. No waiver of any provision of this Agreement shall be deemed a continuing waiver or a waiver of any other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11.6 Entire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(including all exhibits and schedules hereto) and the other Transaction Documents constitute the entire agreement among the Parties with respect to the subject matter hereof and supersede all prior agreements, understandings, representations, and warranties, both written and oral, among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11.7 No Third-Party Beneficiaries.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for the sole benefit of the Parties and their respective successors and permitted assigns and nothing herein, express or implied, is intended to or shall confer upon any other Person any legal or equitable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11.8 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11.9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any rights or obligations hereunder may be assigned by any Party without the prior written consent of the other Parties; provided that a Commitment Party may assign its rights and obligations hereunder to an Affiliate of such Commitment Party without the prior written consent of the Company.. Any purported assignment in violation of this Section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11.10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when so executed and delivered shall be deemed to be an original and all of which taken together shall constitute one and the same agreement. Delivery of an executed counterpart of a signature page by facsimile or electronic transmission (including .pdf) shall be effective as delivery of a manually executed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11.11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acknowledges and agrees that the other Parties would be irreparably harmed if any provision of this Agreement is not performed in accordance with its specific terms or is otherwise breached, and that monetary damages would not be an adequate remedy. Accordingly, each Party agrees that the other Parties shall be entitled to an injunction or injunctions to prevent breaches of this Agreement and to enforce specifically the performance of the terms and provisions hereof, in addition to any other remedy to which they are entitled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11.12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each Party shall bear its own costs and expenses incurred in connection with this Agreement and the transactions contemplated 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have caused this Agreement to be duly executed and delivered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1031"/>
        <w:gridCol w:w="3248"/>
        <w:gridCol w:w="75"/>
      </w:tblGrid>
      <w:tr>
        <w:trPr/>
        <w:tc>
          <w:tcPr>
            <w:tcW w:w="4279"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b/>
              </w:rPr>
            </w:pPr>
            <w:r>
              <w:rPr>
                <w:b/>
              </w:rPr>
              <w:t>AUTHID INC.</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By:</w:t>
            </w:r>
          </w:p>
        </w:tc>
        <w:tc>
          <w:tcPr>
            <w:tcW w:w="32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Name: </w:t>
            </w:r>
          </w:p>
        </w:tc>
        <w:tc>
          <w:tcPr>
            <w:tcW w:w="3248" w:type="dxa"/>
            <w:tcBorders/>
            <w:vAlign w:val="center"/>
          </w:tcPr>
          <w:p>
            <w:pPr>
              <w:pStyle w:val="TableContents"/>
              <w:bidi w:val="0"/>
              <w:spacing w:before="0" w:after="283"/>
              <w:jc w:val="left"/>
              <w:rPr/>
            </w:pPr>
            <w:r>
              <w:rPr/>
              <w:t>Thomas R. Szoke</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Title:</w:t>
            </w:r>
          </w:p>
        </w:tc>
        <w:tc>
          <w:tcPr>
            <w:tcW w:w="3248"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Date:</w:t>
            </w:r>
          </w:p>
        </w:tc>
        <w:tc>
          <w:tcPr>
            <w:tcW w:w="3248" w:type="dxa"/>
            <w:tcBorders/>
            <w:vAlign w:val="center"/>
          </w:tcPr>
          <w:p>
            <w:pPr>
              <w:pStyle w:val="TableContents"/>
              <w:bidi w:val="0"/>
              <w:spacing w:before="0" w:after="283"/>
              <w:jc w:val="left"/>
              <w:rPr/>
            </w:pPr>
            <w:r>
              <w:rPr/>
              <w:t>September 9, 2026</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b/>
              </w:rPr>
            </w:pPr>
            <w:r>
              <w:rPr>
                <w:b/>
              </w:rPr>
              <w:t>COMMITMENT PARTIES:</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4" w:type="dxa"/>
            <w:gridSpan w:val="3"/>
            <w:tcBorders/>
            <w:vAlign w:val="center"/>
          </w:tcPr>
          <w:p>
            <w:pPr>
              <w:pStyle w:val="TableContents"/>
              <w:bidi w:val="0"/>
              <w:spacing w:before="0" w:after="283"/>
              <w:jc w:val="left"/>
              <w:rPr>
                <w:b/>
              </w:rPr>
            </w:pPr>
            <w:r>
              <w:rPr>
                <w:b/>
              </w:rPr>
              <w:t>[***]</w:t>
            </w:r>
          </w:p>
        </w:tc>
      </w:tr>
      <w:tr>
        <w:trPr/>
        <w:tc>
          <w:tcPr>
            <w:tcW w:w="4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By:</w:t>
            </w:r>
          </w:p>
        </w:tc>
        <w:tc>
          <w:tcPr>
            <w:tcW w:w="32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Name:</w:t>
            </w:r>
          </w:p>
        </w:tc>
        <w:tc>
          <w:tcPr>
            <w:tcW w:w="32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Date:</w:t>
            </w:r>
          </w:p>
        </w:tc>
        <w:tc>
          <w:tcPr>
            <w:tcW w:w="3248" w:type="dxa"/>
            <w:tcBorders/>
            <w:vAlign w:val="center"/>
          </w:tcPr>
          <w:p>
            <w:pPr>
              <w:pStyle w:val="TableContents"/>
              <w:bidi w:val="0"/>
              <w:spacing w:before="0" w:after="283"/>
              <w:jc w:val="left"/>
              <w:rPr/>
            </w:pPr>
            <w:r>
              <w:rPr/>
              <w:t>September 9, 2026</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Pro Rata Share: 50%</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Principal Amount of SSBs Held: $1,000,000</w:t>
            </w:r>
          </w:p>
        </w:tc>
        <w:tc>
          <w:tcPr>
            <w:tcW w:w="75" w:type="dxa"/>
            <w:tcBorders/>
            <w:vAlign w:val="center"/>
          </w:tcPr>
          <w:p>
            <w:pPr>
              <w:pStyle w:val="TableContents"/>
              <w:bidi w:val="0"/>
              <w:spacing w:before="0" w:after="283"/>
              <w:jc w:val="left"/>
              <w:rPr/>
            </w:pPr>
            <w:r>
              <w:rPr/>
              <w:t> </w:t>
            </w:r>
          </w:p>
        </w:tc>
      </w:tr>
      <w:tr>
        <w:trPr/>
        <w:tc>
          <w:tcPr>
            <w:tcW w:w="4354" w:type="dxa"/>
            <w:gridSpan w:val="3"/>
            <w:tcBorders/>
            <w:vAlign w:val="center"/>
          </w:tcPr>
          <w:p>
            <w:pPr>
              <w:pStyle w:val="TableContents"/>
              <w:bidi w:val="0"/>
              <w:spacing w:before="0" w:after="283"/>
              <w:jc w:val="left"/>
              <w:rPr/>
            </w:pPr>
            <w:r>
              <w:rPr/>
              <w:t>Address for Notices:</w:t>
            </w:r>
          </w:p>
        </w:tc>
      </w:tr>
      <w:tr>
        <w:trPr/>
        <w:tc>
          <w:tcPr>
            <w:tcW w:w="4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4" w:type="dxa"/>
            <w:gridSpan w:val="3"/>
            <w:tcBorders/>
            <w:vAlign w:val="center"/>
          </w:tcPr>
          <w:p>
            <w:pPr>
              <w:pStyle w:val="TableContents"/>
              <w:bidi w:val="0"/>
              <w:spacing w:before="0" w:after="283"/>
              <w:jc w:val="left"/>
              <w:rPr>
                <w:b/>
              </w:rPr>
            </w:pPr>
            <w:r>
              <w:rPr>
                <w:b/>
              </w:rPr>
              <w:t>[***]</w:t>
            </w:r>
          </w:p>
        </w:tc>
      </w:tr>
      <w:tr>
        <w:trPr/>
        <w:tc>
          <w:tcPr>
            <w:tcW w:w="4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By:</w:t>
            </w:r>
          </w:p>
        </w:tc>
        <w:tc>
          <w:tcPr>
            <w:tcW w:w="32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Name:</w:t>
            </w:r>
          </w:p>
        </w:tc>
        <w:tc>
          <w:tcPr>
            <w:tcW w:w="32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Title:</w:t>
            </w:r>
          </w:p>
        </w:tc>
        <w:tc>
          <w:tcPr>
            <w:tcW w:w="32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31" w:type="dxa"/>
            <w:tcBorders/>
            <w:vAlign w:val="center"/>
          </w:tcPr>
          <w:p>
            <w:pPr>
              <w:pStyle w:val="TableContents"/>
              <w:bidi w:val="0"/>
              <w:spacing w:before="0" w:after="283"/>
              <w:jc w:val="left"/>
              <w:rPr/>
            </w:pPr>
            <w:r>
              <w:rPr/>
              <w:t>Date:</w:t>
            </w:r>
          </w:p>
        </w:tc>
        <w:tc>
          <w:tcPr>
            <w:tcW w:w="3248" w:type="dxa"/>
            <w:tcBorders/>
            <w:vAlign w:val="center"/>
          </w:tcPr>
          <w:p>
            <w:pPr>
              <w:pStyle w:val="TableContents"/>
              <w:bidi w:val="0"/>
              <w:spacing w:before="0" w:after="283"/>
              <w:jc w:val="left"/>
              <w:rPr/>
            </w:pPr>
            <w:r>
              <w:rPr/>
              <w:t>September 9, 2026</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Pro Rata Share: 50%</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Principal Amount of SSBs Held: $200,000</w:t>
            </w:r>
          </w:p>
        </w:tc>
        <w:tc>
          <w:tcPr>
            <w:tcW w:w="75" w:type="dxa"/>
            <w:tcBorders/>
            <w:vAlign w:val="center"/>
          </w:tcPr>
          <w:p>
            <w:pPr>
              <w:pStyle w:val="TableContents"/>
              <w:bidi w:val="0"/>
              <w:spacing w:before="0" w:after="283"/>
              <w:jc w:val="left"/>
              <w:rPr/>
            </w:pPr>
            <w:r>
              <w:rPr/>
              <w:t> </w:t>
            </w:r>
          </w:p>
        </w:tc>
      </w:tr>
      <w:tr>
        <w:trPr/>
        <w:tc>
          <w:tcPr>
            <w:tcW w:w="4354" w:type="dxa"/>
            <w:gridSpan w:val="3"/>
            <w:tcBorders/>
            <w:vAlign w:val="center"/>
          </w:tcPr>
          <w:p>
            <w:pPr>
              <w:pStyle w:val="TableContents"/>
              <w:bidi w:val="0"/>
              <w:spacing w:before="0" w:after="283"/>
              <w:jc w:val="left"/>
              <w:rPr/>
            </w:pPr>
            <w:r>
              <w:rPr/>
              <w:t>Address for Notices: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7914</Words>
  <Characters>42984</Characters>
  <CharactersWithSpaces>50931</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