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007-8k_authid.htm"/>
      <w:bookmarkStart w:id="1" w:name="ksea03080078k_authi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1005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October 5, 2026</w:t>
      </w:r>
    </w:p>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33500"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10191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28" w:type="dxa"/>
          <w:right w:w="0" w:type="dxa"/>
        </w:tblCellMar>
      </w:tblPr>
      <w:tblGrid>
        <w:gridCol w:w="2735"/>
        <w:gridCol w:w="60"/>
        <w:gridCol w:w="2615"/>
        <w:gridCol w:w="60"/>
        <w:gridCol w:w="1775"/>
      </w:tblGrid>
      <w:tr>
        <w:trPr/>
        <w:tc>
          <w:tcPr>
            <w:tcW w:w="2735" w:type="dxa"/>
            <w:tcBorders>
              <w:bottom w:val="single" w:sz="12" w:space="0" w:color="000000"/>
            </w:tcBorders>
            <w:vAlign w:val="center"/>
          </w:tcPr>
          <w:p>
            <w:pPr>
              <w:pStyle w:val="TableContents"/>
              <w:bidi w:val="0"/>
              <w:spacing w:before="0" w:after="283"/>
              <w:jc w:val="center"/>
              <w:rPr/>
            </w:pPr>
            <w:bookmarkStart w:id="5" w:name="xdx_90D_edei--EntityIncorporationStateCo"/>
            <w:bookmarkEnd w:id="5"/>
            <w:r>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pPr>
            <w:bookmarkStart w:id="6" w:name="xdx_90E_edei--EntityFileNumber_c20261005"/>
            <w:bookmarkEnd w:id="6"/>
            <w:r>
              <w:rPr/>
              <w:t>001-40747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pPr>
            <w:bookmarkStart w:id="7" w:name="xdx_90B_edei--EntityTaxIdentificationNum"/>
            <w:bookmarkEnd w:id="7"/>
            <w:r>
              <w:rPr/>
              <w:t>46-2069547</w:t>
            </w:r>
          </w:p>
        </w:tc>
      </w:tr>
      <w:tr>
        <w:trPr/>
        <w:tc>
          <w:tcPr>
            <w:tcW w:w="2735" w:type="dxa"/>
            <w:tcBorders/>
            <w:tcMar>
              <w:bottom w:w="0" w:type="dxa"/>
            </w:tcMar>
            <w:vAlign w:val="center"/>
          </w:tcPr>
          <w:p>
            <w:pPr>
              <w:pStyle w:val="TableContents"/>
              <w:bidi w:val="0"/>
              <w:spacing w:before="0" w:after="283"/>
              <w:jc w:val="center"/>
              <w:rPr/>
            </w:pPr>
            <w:r>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val="false"/>
          <w:i w:val="false"/>
          <w:caps w:val="false"/>
          <w:smallCaps w:val="false"/>
          <w:sz w:val="20"/>
        </w:rPr>
        <w:t xml:space="preserve">1580 N. Logan St., </w:t>
      </w:r>
      <w:bookmarkStart w:id="9" w:name="xdx_901_edei--EntityAddressAddressLine2_"/>
      <w:bookmarkEnd w:id="9"/>
      <w:r>
        <w:rPr>
          <w:rFonts w:ascii="Times New Roman;Times;Serif" w:hAnsi="Times New Roman;Times;Serif"/>
          <w:b w:val="false"/>
          <w:i w:val="false"/>
          <w:caps w:val="false"/>
          <w:smallCaps w:val="false"/>
          <w:sz w:val="20"/>
        </w:rPr>
        <w:t xml:space="preserve">Suite 660, </w:t>
      </w:r>
      <w:bookmarkStart w:id="10" w:name="xdx_90C_edei--EntityAddressAddressLine3_"/>
      <w:bookmarkEnd w:id="10"/>
      <w:r>
        <w:rPr>
          <w:rFonts w:ascii="Times New Roman;Times;Serif" w:hAnsi="Times New Roman;Times;Serif"/>
          <w:b w:val="false"/>
          <w:i w:val="false"/>
          <w:caps w:val="false"/>
          <w:smallCaps w:val="false"/>
          <w:sz w:val="20"/>
        </w:rPr>
        <w:t xml:space="preserve">Unit 51767, </w:t>
      </w:r>
      <w:bookmarkStart w:id="11" w:name="xdx_903_edei--EntityAddressCityOrTown_c2"/>
      <w:bookmarkEnd w:id="11"/>
      <w:r>
        <w:rPr>
          <w:rFonts w:ascii="Times New Roman;Times;Serif" w:hAnsi="Times New Roman;Times;Serif"/>
          <w:b w:val="false"/>
          <w:i w:val="false"/>
          <w:caps w:val="false"/>
          <w:smallCaps w:val="false"/>
          <w:sz w:val="20"/>
        </w:rPr>
        <w:t xml:space="preserve">Denver, </w:t>
      </w:r>
      <w:bookmarkStart w:id="12" w:name="xdx_906_edei--EntityAddressStateOrProvin"/>
      <w:bookmarkEnd w:id="12"/>
      <w:r>
        <w:rPr>
          <w:rFonts w:ascii="Times New Roman;Times;Serif" w:hAnsi="Times New Roman;Times;Serif"/>
          <w:b w:val="false"/>
          <w:i w:val="false"/>
          <w:caps w:val="false"/>
          <w:smallCaps w:val="false"/>
          <w:sz w:val="20"/>
        </w:rPr>
        <w:t xml:space="preserve">Colorado </w:t>
      </w:r>
      <w:bookmarkStart w:id="13" w:name="xdx_902_edei--EntityAddressPostalZipCode"/>
      <w:bookmarkEnd w:id="13"/>
      <w:r>
        <w:rPr>
          <w:rFonts w:ascii="Times New Roman;Times;Serif" w:hAnsi="Times New Roman;Times;Serif"/>
          <w:b w:val="false"/>
          <w:i w:val="false"/>
          <w:caps w:val="false"/>
          <w:smallCaps w:val="false"/>
          <w:sz w:val="20"/>
        </w:rPr>
        <w:t>80203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4" w:name="xdx_908_edei--CityAreaCode_c20261005__20"/>
      <w:bookmarkEnd w:id="14"/>
      <w:r>
        <w:rPr>
          <w:rFonts w:ascii="Times New Roman;Times;Serif" w:hAnsi="Times New Roman;Times;Serif"/>
          <w:b w:val="false"/>
          <w:i w:val="false"/>
          <w:caps w:val="false"/>
          <w:smallCaps w:val="false"/>
          <w:sz w:val="20"/>
        </w:rPr>
        <w:t xml:space="preserve">516) </w:t>
      </w:r>
      <w:bookmarkStart w:id="15" w:name="xdx_90E_edei--LocalPhoneNumber_c20261005"/>
      <w:bookmarkEnd w:id="15"/>
      <w:r>
        <w:rPr>
          <w:rFonts w:ascii="Times New Roman;Times;Serif" w:hAnsi="Times New Roman;Times;Serif"/>
          <w:b w:val="false"/>
          <w:i w:val="false"/>
          <w:caps w:val="false"/>
          <w:smallCaps w:val="false"/>
          <w:sz w:val="20"/>
        </w:rPr>
        <w:t>274-8700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6" w:name="xdx_90F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both"/>
              <w:rPr/>
            </w:pPr>
            <w:r>
              <w:rPr/>
              <w:t> </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7" w:name="xdx_909_edei--SolicitingMaterial_c202610"/>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4_edei--PreCommencementTenderOffer"/>
            <w:bookmarkEnd w:id="18"/>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3_edei--PreCommencementIssuerTende"/>
            <w:bookmarkEnd w:id="19"/>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46"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222"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20" w:name="xdx_90D_edei--Security12bTitle_c20261005"/>
            <w:bookmarkEnd w:id="20"/>
            <w:r>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1" w:name="xdx_90F_edei--TradingSymbol_c20261005__2"/>
            <w:bookmarkEnd w:id="21"/>
            <w:r>
              <w:rPr/>
              <w:t>AUID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2" w:type="dxa"/>
            <w:tcBorders/>
            <w:shd w:fill="CCEEFF" w:val="clear"/>
            <w:tcMar>
              <w:bottom w:w="0" w:type="dxa"/>
            </w:tcMar>
            <w:vAlign w:val="center"/>
          </w:tcPr>
          <w:p>
            <w:pPr>
              <w:pStyle w:val="TableContents"/>
              <w:bidi w:val="0"/>
              <w:spacing w:before="0" w:after="283"/>
              <w:jc w:val="center"/>
              <w:rPr/>
            </w:pPr>
            <w:r>
              <w:rPr/>
              <w:t xml:space="preserve">The </w:t>
            </w:r>
            <w:bookmarkStart w:id="22" w:name="xdx_903_edei--SecurityExchangeName_c2026"/>
            <w:bookmarkEnd w:id="22"/>
            <w:r>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1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authID Inc. (the “Company”) entered into a Securities Purchase Agreement (the “Purchase Agreement”) with four accredited investors (the “Investors”) pursuant to which the Company agreed to issue and sell to the Investors, in a private placement (the “Offering”), (i) senior secured convertible debentures in the aggregate original principal amount of $1,350,000 (the “Debentures”) and (ii) warrants to purchase up to an aggregate of 1,800,000 shares of the Company’s common stock, par value $0.0001 per share (the “Common Stock”), at an exercise price of $0.50 per share (the “Warrants”). The Warrants provide coverage equal to one and one-third (4/3) of the principal amount of Debentures purchased by each Investor. The Debentures were sold at their principal amount, with no original issue discount. None of the Investors is an officer, director or affiliate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Offering occurred on October 6, 2026. The aggregate gross proceeds to the Company from the Offering are $1,350,000, before deducting placement agent fees and other Offering expenses. The Company intends to use the net proceeds of the Offering for working capital and general corporate purposes. Under the Purchase Agreement, the Company may not use the proceeds to repay indebtedness (other than trade payables in the ordinary course), to redeem any Common Stock or Common Stock equivalents, to settle litigation, or to make loans or advances to officers, directors, employees or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of the Company and the Investors, including an agreement by the Company to indemnify the Investors against losses arising from any breach of the Company’s representations, warranties or covenants, and a covenant to maintain a reserve of authorized but unissued shares of Common Stock sufficient for issuance upon conversion of the Debentures and exercise of the Warrants. The Purchase Agreement also provides that the Warrants shall not be exercisable, and the Company shall not be obligated to issue any shares of Common Stock upon exercise of the Warrants, unless and until the Company’s stockholders have approved the issuance of the shares of Common Stock issuable upon exercise of the Warrants in accordance with Nasdaq Listing Rule 5635 (“Stockholder Approval”). The Company has agreed to use its commercially reasonable efforts to obtain Stockholder Approval at the next annual or special meeting of stockholders held following the closing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Madison Global Partners, LLC (the “Placement Agent”) acted as non-exclusive placement agent for the Offering pursuant to an engagement letter dated October 3, 2026. The Company agreed to pay the Placement Agent a cash fee equal to 7% of the gross proceeds of the Offering and to issue to the Placement Agent (or its designees) warrants to purchase shares of Common Stock having a value equal to 7% of the gross proceeds of the Offering (the “Placement Agent Warrants”) exercisable at $0.386 per share, and to reimburse $25,000 of the Placement Agent’s legal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Debentures mature on the earlier of February 28, 2027 and the consummation of a Change of Control Transaction (as defined in the Debentures) (the “Maturity Date”). The Debentures do not bear interest. The Debentures are senior secured obligations of the Company and rank pari passu in right of payment and in lien priority with the Company’s senior secured debentures issued on April 29, 2026 (the “April 2026 Debentures”) as amended pursuant to the Backstop Commitment Agreement dated September 9, 2026. The Company has agreed not to incur indebtedness senior to the Debentures or grant liens on its assets other than Permitted Liens (as defined in the Security Agreement described below) without the consent of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Debentures are convertible, in whole or in part, at the option of each holder at any time into shares of Common Stock (the “Conversion Shares”) at a conversion price of $0.386 per share (the “Conversion Price”), which was the “Minimum Price” under Nasdaq Listing Rule 5635(d) at the time the Purchase Agreement was signed. The Conversion Price is subject to adjustment for stock splits, stock dividends, combinations and similar events, but does not contain price-based anti-dilution protection. Based on the Conversion Price, the Debentures are convertible into an aggregate of 3,497,409 shares of Common Stock. A holder may not convert its Debenture to the extent that, after giving effect to the conversion, the holder (together with its affiliates) would beneficially own more than 4.99% or 9.99%, as applicable, of the outstanding Common Stock, which limitation may be adjusted by the holder on 61 days’ notice but not above 9.99%. In addition, the Company may not issue Conversion Shares to the extent that such issuance, together with the shares issued under the other transaction documents, would exceed the number of shares the Company may issue without stockholder approval under Nasdaq Listing Rule 5635, unless and until such approval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Debentures contain customary events of default, including failure to pay principal when due, bankruptcy and insolvency events, a default under other indebtedness in excess of $200,000 that is accelerated, the Common Stock ceasing to be quoted or listed on a Primary Market (as defined in the Debentures) for five consecutive trading days, a material breach of the Debentures or the other transaction documents that is not cured within the applicable cure period, failure to maintain the required share reserve, and the security interest securing the Debentures ceasing to be a perfected first-priority lien (pari passu with the April 2026 Debentures). Upon an event of default, each holder may declare its Debenture immediately due and payable. The Debentures may be amended with the consent of the Company and holders of not less than 67% of the outstanding principal amount, except that no amendment may require the conversion of any holder’s Debenture without that holder’s consent. The holders have consented to a reverse stock split effected to maintain the listing of the Common Stock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exercise price of $0.50 per share, a term of five years from the date of issuance, and may be exercised on a cashless basis at the holder’s election. The Warrants are not exercisable unless and until Stockholder Approval is obtained. The exercise price and number of shares issuable upon exercise of the Warrants (the “Warrant Shares”) are subject to adjustment for stock splits, stock dividends, combinations and similar events. The Warrants are subject to a beneficial ownership limitation of 4.99% or 9.99%, as applicable, on the same terms as the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entered into a Security Agreement dated as of October 5, 2026 with each Investor (collectively, the “Security Agreements”), pursuant to which the Company granted to each Investor a security interest in substantially all of the Company’s assets, including all goods, equipment, inventory, accounts, deposit accounts, investment property, intellectual property and other general intangibles, and the proceeds thereof, to secure the Company’s obligations under the Debentures. The security interests granted to the Investors rank pari passu with the security interests securing the April 2026 Debentures, with ratable sharing of the collateral among the Investors and the holders of the April 2026 Debentures. The Security Agreements permit certain liens, including the pari passu liens securing the April 2026 Debentures, tax and statutory liens, and purchase money and equipment lease liens not exceeding $100,000 in the aggregate. Upon an event of default under the Debentures that remains uncured after any applicable notice and cure period, each Investor may exercise the remedies of a secured party under the Uniform Commercial Code, including taking possession of and selling the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connection with the Offering, the Company entered into a Registration Rights Agreement dated as of October 5, 2026 with the Investors (the “Registration Rights Agreement”), pursuant to which the Company agreed to file a registration statement with the Securities and Exchange Commission (the “SEC”) covering the resale of the Conversion Shares, the Warrant Shares and the shares of Common Stock issuable upon exercise of the Placement Agent Warrants within 60 days following the closing of the Offering, and to use its commercially reasonable efforts to cause the registration statement to be declared effective within 75 days thereafter and to keep it effective until the registrable securities have been sold or may be sold without restriction under Rule 144. The Registration Rights Agreement also grants the Investors piggyback registration rights with respect to registration statements filed in connection with or following a merger, reverse merger, business combination, recapitalization, reorganization, direct listing or similar transaction (other than a prospectus supplement to the Company’s existing shelf registration statement on Form S-3). The Company may suspend use of the registration statement for not more than 15 consecutive days or 30 days in any 12-month period. The Registration Rights Agreement does not provide for liquidated damages. The Company may include on the same registration statement the shares of Common Stock issuable to the holders of the April 2026 Debentures and the related warrants, fee shares and commitment fee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April 2026 Debentures and Existing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holders of the April 2026 Debentures consented to the Offering and to the pari passu ranking of the Debentures and the related security interests, waived any right to repayment of the April 2026 Debentures from the proceeds of the Offering, and agreed to extend the maturity date of the April 2026 Debentures from October 29, 2026 to February 28, 2027. In consideration of the extension, the Company agreed to reduce the exercise price of the warrants issued to the holders of the April 2026 Debentures on April 29, 2026 from $0.57 per share to $0.50 per share; the reduction in the exercise price of warrants held by directors of the Company is subject to stockholder approval in accordance with Nasdaq Listing Rule 5635(c).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the Debentures, the Warrants, the Security Agreements, the Registration Rights Agreement and the consent of the holders of the April 2026 Debentures do not purport to be complete and are qualified in their entirety by reference to the full text of the forms of those documents, which are filed as Exhibits 10.1, 10.2, 10.3, 10.4, 10.5 and 10.6, respectively, to this Current Report on Form 8-K and are incorporated herein by reference. The representations, warranties and covenants contained in the Purchase Agreement were made solely for the benefit of the parties thereto and may be subject to limitations agreed upon by the contracting parties. Accordingly, the Purchase Agreement is incorporated herein by reference only to provide investors with information regarding its terms and not to provide investors with any other factual information regarding the Company or its business, and should be read in conjunction with the disclosures in the Company’s periodic reports and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with respect to the Debentures and the Security Agreements, and the extension of the maturity date of the April 2026 Debentures, is incorporated by reference into this Item 2.03.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is incorporated by reference into this Item 3.02. The Debentures, the Warrants and the Placement Agent Warrants were offered and sold in a private placement in reliance upon the exemption from the registration requirements of the Securities Act of 1933, as amended (the “Securities Act”), afforded by Section 4(a)(2) thereof and Rule 506(b) of Regulation D promulgated thereunder, without any form of general solicitation or general advertising. Each Investor represented to the Company that it is an “accredited investor” as defined in Rule 501(a) of Regulation D, that it has such knowledge and experience in financial and business matters that it is capable of evaluating the merits and risks of the investment, and that it is acquiring the securities for its own account for investment purposes and not with a view to the distribution thereof. The Debentures, the Warrants, the Placement Agent Warrants, the Conversion Shares and the Warrant Shares have not been registered under the Securities Act or any state securities laws, bear (or will bear) restrictive legends, and may not be offered or sold in the United States absent registration or an applicable exemption from the registration requirements. The reduction of the exercise price of the warrants held by the holders of the April 2026 Debentures was effected in reliance upon the same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Conversion Price of $0.386 per share, the Debentures are convertible into an aggregate of 3,497,409 shares of Common Stock, and the Warrants are exercisable, subject to Stockholder Approval, for an aggregate of 1,800,000 shares of Common Stock, in each case subject to adjustment as described in Item 1.01 and to the beneficial ownership and Nasdaq limitations described therein. The Placement Agent Warrants are exercisable for 244,819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the Company issued a press release announcing the pricing of the Offering and the extension of the maturity date of the April 2026 Debentures.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issued a press release announcing that it had entered into a $2 million technology licensing, services and support agreement with the EinStrong Charitable Foundation, under which EinStrong paid $1 million for a non-exclusive license of the Company’s biometric identity technology and committed an additional $1 million for new biometric de-duplication functionality and engineering support. The press release also includes statements by the Company’s Interim Chief Executive Officer regarding the Company’s business outlook and the reduction of the Company’s monthly cash operating expenses. A copy of the press release is furnished as Exhibit 99.2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7.01, including Exhibits 99.1 and 99.2, shall not be deemed “filed” for purposes of Section 18 of the Securities Exchange Act of 1934, as amended (the “Exchange Act”), or otherwise subject to the liabilities of that section, nor shall it be deemed incorporated by reference into any filing under the Securities Act or the Exchange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Cautionary Note Regarding Forward-Looking Statements. </w:t>
      </w: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and Section 21E of the Exchange Act, including statements regarding the expected closing of the Offering and the satisfaction of closing conditions, the anticipated use of proceeds, the Company’s ability to obtain Stockholder Approval for the exercise of the Warrants and the repricing of the warrants held by directors, the filing and effectiveness of the resale registration statement contemplated by the Registration Rights Agreement, the Company’s ability to repay or refinance the Debentures and the April 2026 Debentures at maturity, the Company’s ability to regain compliance with the continued listing requirements of Nasdaq, the Company’s business outlook, the Company’s expectations regarding its cash operating expenses, and the anticipated benefits of and payments under the Company’s agreement with the EinStrong Charitable Foundation. Forward-looking statements are based on management’s current expectations and are subject to risks and uncertainties that could cause actual results to differ materially, including the risks that the proceeds of the Offering will not be sufficient to fund the Company’s operations and liquidity needs, that the Company will be unable to issue shares of Common Stock upon conversion of the Debentures or exercise of the Warrants beyond the limits permitted by Nasdaq Listing Rule 5635 without stockholder approval, that the resale registration statement will not be filed or declared effective on a timely basis, that the Company will be unable to repay the Debentures and the April 2026 Debentures when due, that the Company’s Common Stock will be delisted from Nasdaq, that the Company will not realize the anticipated benefits of its agreement with the EinStrong Charitable Foundation or receive the additional payments contemplated thereby, and that the Company will be unable to sustain the reduction in its cash operating expenses, as well as the risk factors described under “Risk Factors” in the Company’s Annual Report on Form 10-K for the fiscal year ended December 31, 2025 and its subsequent Quarterly Reports on Form 10-Q and other filings with the SEC. Forward-looking statements speak only as of the date of this report, and the Company undertakes no obligation to update or revise any forward-looking statement,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96"/>
        <w:gridCol w:w="60"/>
        <w:gridCol w:w="9049"/>
      </w:tblGrid>
      <w:tr>
        <w:trPr/>
        <w:tc>
          <w:tcPr>
            <w:tcW w:w="1096"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049"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1096"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49" w:type="dxa"/>
            <w:tcBorders/>
            <w:shd w:fill="CCEEFF" w:val="clear"/>
            <w:tcMar>
              <w:bottom w:w="0" w:type="dxa"/>
            </w:tcMar>
            <w:vAlign w:val="center"/>
          </w:tcPr>
          <w:p>
            <w:pPr>
              <w:pStyle w:val="TableContents"/>
              <w:bidi w:val="0"/>
              <w:spacing w:before="0" w:after="283"/>
              <w:jc w:val="both"/>
              <w:rPr/>
            </w:pPr>
            <w:hyperlink w:anchor="ea030800701ex10-1.htm">
              <w:r>
                <w:rPr>
                  <w:rStyle w:val="InternetLink"/>
                </w:rPr>
                <w:t>Form of Securities Purchase Agreement, dated as of October 5, 2026, between authID Inc. and the Investors named therein*</w:t>
              </w:r>
            </w:hyperlink>
          </w:p>
        </w:tc>
      </w:tr>
      <w:tr>
        <w:trPr/>
        <w:tc>
          <w:tcPr>
            <w:tcW w:w="1096" w:type="dxa"/>
            <w:tcBorders/>
            <w:shd w:fill="FFFFFF" w:val="clear"/>
            <w:tcMar>
              <w:bottom w:w="0" w:type="dxa"/>
            </w:tcMar>
            <w:vAlign w:val="center"/>
          </w:tcPr>
          <w:p>
            <w:pPr>
              <w:pStyle w:val="TableContents"/>
              <w:bidi w:val="0"/>
              <w:spacing w:before="0" w:after="283"/>
              <w:jc w:val="left"/>
              <w:rPr/>
            </w:pPr>
            <w:r>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49" w:type="dxa"/>
            <w:tcBorders/>
            <w:shd w:fill="FFFFFF" w:val="clear"/>
            <w:tcMar>
              <w:bottom w:w="0" w:type="dxa"/>
            </w:tcMar>
            <w:vAlign w:val="center"/>
          </w:tcPr>
          <w:p>
            <w:pPr>
              <w:pStyle w:val="TableContents"/>
              <w:bidi w:val="0"/>
              <w:spacing w:before="0" w:after="283"/>
              <w:jc w:val="left"/>
              <w:rPr/>
            </w:pPr>
            <w:hyperlink w:anchor="ea030800701ex10-2.htm">
              <w:r>
                <w:rPr>
                  <w:rStyle w:val="InternetLink"/>
                </w:rPr>
                <w:t>Form of Senior Secured Convertible Debenture issued October 6, 2026</w:t>
              </w:r>
            </w:hyperlink>
          </w:p>
        </w:tc>
      </w:tr>
      <w:tr>
        <w:trPr/>
        <w:tc>
          <w:tcPr>
            <w:tcW w:w="1096" w:type="dxa"/>
            <w:tcBorders/>
            <w:shd w:fill="CCEEFF" w:val="clear"/>
            <w:tcMar>
              <w:bottom w:w="0" w:type="dxa"/>
            </w:tcMar>
            <w:vAlign w:val="center"/>
          </w:tcPr>
          <w:p>
            <w:pPr>
              <w:pStyle w:val="TableContents"/>
              <w:bidi w:val="0"/>
              <w:spacing w:before="0" w:after="283"/>
              <w:jc w:val="left"/>
              <w:rPr/>
            </w:pPr>
            <w:r>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49" w:type="dxa"/>
            <w:tcBorders/>
            <w:shd w:fill="CCEEFF" w:val="clear"/>
            <w:tcMar>
              <w:bottom w:w="0" w:type="dxa"/>
            </w:tcMar>
            <w:vAlign w:val="center"/>
          </w:tcPr>
          <w:p>
            <w:pPr>
              <w:pStyle w:val="TableContents"/>
              <w:bidi w:val="0"/>
              <w:spacing w:before="0" w:after="283"/>
              <w:jc w:val="left"/>
              <w:rPr/>
            </w:pPr>
            <w:hyperlink w:anchor="ea030800701ex10-3.htm">
              <w:r>
                <w:rPr>
                  <w:rStyle w:val="InternetLink"/>
                </w:rPr>
                <w:t>Form of Warrant issued October 6, 2026</w:t>
              </w:r>
            </w:hyperlink>
          </w:p>
        </w:tc>
      </w:tr>
      <w:tr>
        <w:trPr/>
        <w:tc>
          <w:tcPr>
            <w:tcW w:w="1096"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49" w:type="dxa"/>
            <w:tcBorders/>
            <w:shd w:fill="FFFFFF" w:val="clear"/>
            <w:tcMar>
              <w:bottom w:w="0" w:type="dxa"/>
            </w:tcMar>
            <w:vAlign w:val="center"/>
          </w:tcPr>
          <w:p>
            <w:pPr>
              <w:pStyle w:val="TableContents"/>
              <w:bidi w:val="0"/>
              <w:spacing w:before="0" w:after="283"/>
              <w:jc w:val="left"/>
              <w:rPr/>
            </w:pPr>
            <w:hyperlink w:anchor="ea030800701ex10-4.htm">
              <w:r>
                <w:rPr>
                  <w:rStyle w:val="InternetLink"/>
                </w:rPr>
                <w:t>Form of Security Agreement, dated as of October 5, 2026, between authID Inc. and each Investor</w:t>
              </w:r>
            </w:hyperlink>
          </w:p>
        </w:tc>
      </w:tr>
      <w:tr>
        <w:trPr/>
        <w:tc>
          <w:tcPr>
            <w:tcW w:w="1096" w:type="dxa"/>
            <w:tcBorders/>
            <w:shd w:fill="CCEEFF" w:val="clear"/>
            <w:tcMar>
              <w:bottom w:w="0" w:type="dxa"/>
            </w:tcMar>
            <w:vAlign w:val="center"/>
          </w:tcPr>
          <w:p>
            <w:pPr>
              <w:pStyle w:val="TableContents"/>
              <w:bidi w:val="0"/>
              <w:spacing w:before="0" w:after="283"/>
              <w:jc w:val="left"/>
              <w:rPr/>
            </w:pPr>
            <w:r>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49" w:type="dxa"/>
            <w:tcBorders/>
            <w:shd w:fill="CCEEFF" w:val="clear"/>
            <w:tcMar>
              <w:bottom w:w="0" w:type="dxa"/>
            </w:tcMar>
            <w:vAlign w:val="center"/>
          </w:tcPr>
          <w:p>
            <w:pPr>
              <w:pStyle w:val="TableContents"/>
              <w:bidi w:val="0"/>
              <w:spacing w:before="0" w:after="283"/>
              <w:jc w:val="both"/>
              <w:rPr/>
            </w:pPr>
            <w:hyperlink w:anchor="ea030800701ex10-5.htm">
              <w:r>
                <w:rPr>
                  <w:rStyle w:val="InternetLink"/>
                </w:rPr>
                <w:t>Form of Registration Rights Agreement, dated as of October 5, 2026, between authID Inc. and the Investors named therein</w:t>
              </w:r>
            </w:hyperlink>
          </w:p>
        </w:tc>
      </w:tr>
      <w:tr>
        <w:trPr/>
        <w:tc>
          <w:tcPr>
            <w:tcW w:w="1096" w:type="dxa"/>
            <w:tcBorders/>
            <w:shd w:fill="FFFFFF" w:val="clear"/>
            <w:tcMar>
              <w:bottom w:w="0" w:type="dxa"/>
            </w:tcMar>
            <w:vAlign w:val="center"/>
          </w:tcPr>
          <w:p>
            <w:pPr>
              <w:pStyle w:val="TableContents"/>
              <w:bidi w:val="0"/>
              <w:spacing w:before="0" w:after="283"/>
              <w:jc w:val="left"/>
              <w:rPr/>
            </w:pPr>
            <w:r>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49" w:type="dxa"/>
            <w:tcBorders/>
            <w:shd w:fill="FFFFFF" w:val="clear"/>
            <w:tcMar>
              <w:bottom w:w="0" w:type="dxa"/>
            </w:tcMar>
            <w:vAlign w:val="center"/>
          </w:tcPr>
          <w:p>
            <w:pPr>
              <w:pStyle w:val="TableContents"/>
              <w:bidi w:val="0"/>
              <w:spacing w:before="0" w:after="283"/>
              <w:jc w:val="both"/>
              <w:rPr/>
            </w:pPr>
            <w:hyperlink w:anchor="ea030800701ex10-6.htm">
              <w:r>
                <w:rPr>
                  <w:rStyle w:val="InternetLink"/>
                </w:rPr>
                <w:t>Form of Second Notice to and Consent of Holders of April 2026 Senior Secured Debentures, dated October 5, 2026</w:t>
              </w:r>
            </w:hyperlink>
          </w:p>
        </w:tc>
      </w:tr>
      <w:tr>
        <w:trPr/>
        <w:tc>
          <w:tcPr>
            <w:tcW w:w="1096" w:type="dxa"/>
            <w:tcBorders/>
            <w:shd w:fill="CCEEFF" w:val="clear"/>
            <w:tcMar>
              <w:bottom w:w="0" w:type="dxa"/>
            </w:tcMar>
            <w:vAlign w:val="center"/>
          </w:tcPr>
          <w:p>
            <w:pPr>
              <w:pStyle w:val="TableContents"/>
              <w:bidi w:val="0"/>
              <w:spacing w:before="0" w:after="283"/>
              <w:jc w:val="left"/>
              <w:rPr/>
            </w:pPr>
            <w:r>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49" w:type="dxa"/>
            <w:tcBorders/>
            <w:shd w:fill="CCEEFF" w:val="clear"/>
            <w:tcMar>
              <w:bottom w:w="0" w:type="dxa"/>
            </w:tcMar>
            <w:vAlign w:val="center"/>
          </w:tcPr>
          <w:p>
            <w:pPr>
              <w:pStyle w:val="TableContents"/>
              <w:bidi w:val="0"/>
              <w:spacing w:before="0" w:after="283"/>
              <w:jc w:val="left"/>
              <w:rPr/>
            </w:pPr>
            <w:hyperlink w:anchor="ea030800701ex10-7.htm">
              <w:r>
                <w:rPr>
                  <w:rStyle w:val="InternetLink"/>
                </w:rPr>
                <w:t>Form of Placement Agent Warrant</w:t>
              </w:r>
            </w:hyperlink>
          </w:p>
        </w:tc>
      </w:tr>
      <w:tr>
        <w:trPr/>
        <w:tc>
          <w:tcPr>
            <w:tcW w:w="1096" w:type="dxa"/>
            <w:tcBorders/>
            <w:shd w:fill="FFFFFF" w:val="clear"/>
            <w:tcMar>
              <w:bottom w:w="0" w:type="dxa"/>
            </w:tcMar>
            <w:vAlign w:val="center"/>
          </w:tcPr>
          <w:p>
            <w:pPr>
              <w:pStyle w:val="TableContents"/>
              <w:bidi w:val="0"/>
              <w:spacing w:before="0" w:after="283"/>
              <w:jc w:val="left"/>
              <w:rPr/>
            </w:pPr>
            <w:r>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49" w:type="dxa"/>
            <w:tcBorders/>
            <w:shd w:fill="FFFFFF" w:val="clear"/>
            <w:tcMar>
              <w:bottom w:w="0" w:type="dxa"/>
            </w:tcMar>
            <w:vAlign w:val="center"/>
          </w:tcPr>
          <w:p>
            <w:pPr>
              <w:pStyle w:val="TableContents"/>
              <w:bidi w:val="0"/>
              <w:spacing w:before="0" w:after="283"/>
              <w:jc w:val="left"/>
              <w:rPr/>
            </w:pPr>
            <w:hyperlink w:anchor="ea030800701ex99-1.htm">
              <w:r>
                <w:rPr>
                  <w:rStyle w:val="InternetLink"/>
                </w:rPr>
                <w:t>Press release of authID Inc. dated October 5, 2026 (furnished pursuant to Item 7.01)</w:t>
              </w:r>
            </w:hyperlink>
          </w:p>
        </w:tc>
      </w:tr>
      <w:tr>
        <w:trPr/>
        <w:tc>
          <w:tcPr>
            <w:tcW w:w="1096" w:type="dxa"/>
            <w:tcBorders/>
            <w:shd w:fill="CCEEFF" w:val="clear"/>
            <w:tcMar>
              <w:bottom w:w="0" w:type="dxa"/>
            </w:tcMar>
            <w:vAlign w:val="center"/>
          </w:tcPr>
          <w:p>
            <w:pPr>
              <w:pStyle w:val="TableContents"/>
              <w:bidi w:val="0"/>
              <w:spacing w:before="0" w:after="283"/>
              <w:jc w:val="left"/>
              <w:rPr/>
            </w:pPr>
            <w:r>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49" w:type="dxa"/>
            <w:tcBorders/>
            <w:shd w:fill="CCEEFF" w:val="clear"/>
            <w:tcMar>
              <w:bottom w:w="0" w:type="dxa"/>
            </w:tcMar>
            <w:vAlign w:val="center"/>
          </w:tcPr>
          <w:p>
            <w:pPr>
              <w:pStyle w:val="TableContents"/>
              <w:bidi w:val="0"/>
              <w:spacing w:before="0" w:after="283"/>
              <w:jc w:val="left"/>
              <w:rPr/>
            </w:pPr>
            <w:hyperlink w:anchor="ea030800701ex99-2.htm">
              <w:r>
                <w:rPr>
                  <w:rStyle w:val="InternetLink"/>
                </w:rPr>
                <w:t>Press release of authID Inc. dated October 6, 2026 (furnished pursuant to Item 7.01)</w:t>
              </w:r>
            </w:hyperlink>
          </w:p>
        </w:tc>
      </w:tr>
      <w:tr>
        <w:trPr/>
        <w:tc>
          <w:tcPr>
            <w:tcW w:w="1096"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49"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schedules, appendices and exhibits (including the Confidential Investor Questionnaire, the Disclosure Schedule and the wire instructions in Section 2.03(c)) have been omitted pursuant to Item 601(a)(5) of Regulation S-K. The Company agrees to furnish supplementally a copy of any omitted schedule or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2150"/>
        <w:gridCol w:w="650"/>
        <w:gridCol w:w="3035"/>
      </w:tblGrid>
      <w:tr>
        <w:trPr/>
        <w:tc>
          <w:tcPr>
            <w:tcW w:w="2150" w:type="dxa"/>
            <w:tcBorders/>
            <w:vAlign w:val="center"/>
          </w:tcPr>
          <w:p>
            <w:pPr>
              <w:pStyle w:val="TableContents"/>
              <w:bidi w:val="0"/>
              <w:spacing w:before="0" w:after="283"/>
              <w:jc w:val="center"/>
              <w:rPr/>
            </w:pPr>
            <w:r>
              <w:rPr/>
              <w:t> </w:t>
            </w:r>
          </w:p>
        </w:tc>
        <w:tc>
          <w:tcPr>
            <w:tcW w:w="3685" w:type="dxa"/>
            <w:gridSpan w:val="2"/>
            <w:tcBorders/>
            <w:vAlign w:val="center"/>
          </w:tcPr>
          <w:p>
            <w:pPr>
              <w:pStyle w:val="TableContents"/>
              <w:bidi w:val="0"/>
              <w:spacing w:before="0" w:after="283"/>
              <w:jc w:val="left"/>
              <w:rPr>
                <w:b/>
              </w:rPr>
            </w:pPr>
            <w:r>
              <w:rPr>
                <w:b/>
              </w:rPr>
              <w:t>authID Inc.</w:t>
            </w:r>
          </w:p>
        </w:tc>
      </w:tr>
      <w:tr>
        <w:trPr/>
        <w:tc>
          <w:tcPr>
            <w:tcW w:w="2150" w:type="dxa"/>
            <w:tcBorders/>
            <w:vAlign w:val="center"/>
          </w:tcPr>
          <w:p>
            <w:pPr>
              <w:pStyle w:val="TableContents"/>
              <w:bidi w:val="0"/>
              <w:spacing w:before="0" w:after="283"/>
              <w:jc w:val="center"/>
              <w:rPr/>
            </w:pPr>
            <w:r>
              <w:rPr/>
              <w:t> </w:t>
            </w:r>
          </w:p>
        </w:tc>
        <w:tc>
          <w:tcPr>
            <w:tcW w:w="3685" w:type="dxa"/>
            <w:gridSpan w:val="2"/>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left"/>
              <w:rPr/>
            </w:pPr>
            <w:r>
              <w:rPr/>
              <w:t>Date: October 8, 2026</w:t>
            </w:r>
          </w:p>
        </w:tc>
        <w:tc>
          <w:tcPr>
            <w:tcW w:w="650" w:type="dxa"/>
            <w:tcBorders/>
            <w:vAlign w:val="center"/>
          </w:tcPr>
          <w:p>
            <w:pPr>
              <w:pStyle w:val="TableContents"/>
              <w:bidi w:val="0"/>
              <w:spacing w:before="0" w:after="283"/>
              <w:jc w:val="left"/>
              <w:rPr/>
            </w:pPr>
            <w:r>
              <w:rPr/>
              <w:t>By:</w:t>
            </w:r>
          </w:p>
        </w:tc>
        <w:tc>
          <w:tcPr>
            <w:tcW w:w="3035" w:type="dxa"/>
            <w:tcBorders>
              <w:bottom w:val="single" w:sz="12" w:space="0" w:color="000000"/>
            </w:tcBorders>
            <w:tcMar>
              <w:bottom w:w="28" w:type="dxa"/>
            </w:tcMar>
            <w:vAlign w:val="center"/>
          </w:tcPr>
          <w:p>
            <w:pPr>
              <w:pStyle w:val="TableContents"/>
              <w:bidi w:val="0"/>
              <w:spacing w:before="0" w:after="283"/>
              <w:jc w:val="left"/>
              <w:rPr/>
            </w:pPr>
            <w:r>
              <w:rPr/>
              <w:t>/s/ Thomas R. Szoke</w:t>
            </w:r>
          </w:p>
        </w:tc>
      </w:tr>
      <w:tr>
        <w:trPr/>
        <w:tc>
          <w:tcPr>
            <w:tcW w:w="2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035" w:type="dxa"/>
            <w:tcBorders/>
            <w:vAlign w:val="center"/>
          </w:tcPr>
          <w:p>
            <w:pPr>
              <w:pStyle w:val="TableContents"/>
              <w:bidi w:val="0"/>
              <w:spacing w:before="0" w:after="283"/>
              <w:jc w:val="left"/>
              <w:rPr/>
            </w:pPr>
            <w:r>
              <w:rPr/>
              <w:t>Thomas R. Szoke</w:t>
            </w:r>
          </w:p>
        </w:tc>
      </w:tr>
      <w:tr>
        <w:trPr/>
        <w:tc>
          <w:tcPr>
            <w:tcW w:w="2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035" w:type="dxa"/>
            <w:tcBorders/>
            <w:vAlign w:val="center"/>
          </w:tcPr>
          <w:p>
            <w:pPr>
              <w:pStyle w:val="TableContents"/>
              <w:bidi w:val="0"/>
              <w:spacing w:before="0" w:after="283"/>
              <w:jc w:val="left"/>
              <w:rPr/>
            </w:pPr>
            <w:r>
              <w:rPr/>
              <w:t>Interim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800701ex10-1.htm"/>
      <w:bookmarkStart w:id="25" w:name="ksea030800701ex101"/>
      <w:bookmarkEnd w:id="24"/>
      <w:bookmarkEnd w:id="25"/>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as of October 5, 2026, and is by and between authID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each purchaser identified on the </w:t>
      </w:r>
      <w:r>
        <w:rPr>
          <w:rFonts w:ascii="Times New Roman;Times;Serif" w:hAnsi="Times New Roman;Times;Serif"/>
          <w:b/>
          <w:i/>
          <w:caps w:val="false"/>
          <w:smallCaps w:val="false"/>
          <w:sz w:val="20"/>
          <w:u w:val="single"/>
        </w:rPr>
        <w:t>Annex A</w:t>
      </w:r>
      <w:r>
        <w:rPr>
          <w:rFonts w:ascii="Times New Roman;Times;Serif" w:hAnsi="Times New Roman;Times;Serif"/>
          <w:b w:val="false"/>
          <w:i w:val="false"/>
          <w:caps w:val="false"/>
          <w:smallCaps w:val="false"/>
          <w:sz w:val="20"/>
        </w:rPr>
        <w:t xml:space="preserve"> hereto (each, including its successors and assigns,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 xml:space="preserve">the Investors wish to purchase from the Company, and the Company wishes to sell and issue to the Investors: (i) a senior secured convertible debenture in the form of </w:t>
      </w:r>
      <w:r>
        <w:rPr>
          <w:rFonts w:ascii="Times New Roman;Times;Serif" w:hAnsi="Times New Roman;Times;Serif"/>
          <w:b/>
          <w:i w:val="false"/>
          <w:caps w:val="false"/>
          <w:smallCaps w:val="false"/>
          <w:sz w:val="20"/>
          <w:u w:val="single"/>
        </w:rPr>
        <w:t>Appendix B</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i w:val="false"/>
          <w:caps w:val="false"/>
          <w:smallCaps w:val="false"/>
          <w:sz w:val="20"/>
        </w:rPr>
        <w:t>Debenture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Debentures</w:t>
      </w:r>
      <w:r>
        <w:rPr>
          <w:rFonts w:ascii="Times New Roman;Times;Serif" w:hAnsi="Times New Roman;Times;Serif"/>
          <w:b w:val="false"/>
          <w:i w:val="false"/>
          <w:caps w:val="false"/>
          <w:smallCaps w:val="false"/>
          <w:sz w:val="20"/>
        </w:rPr>
        <w:t xml:space="preserve">”) in an aggregate original principal amount of up to $1,350,000, and (ii) Warrants to purchase Common Shares of the Company in the form of </w:t>
      </w:r>
      <w:r>
        <w:rPr>
          <w:rFonts w:ascii="Times New Roman;Times;Serif" w:hAnsi="Times New Roman;Times;Serif"/>
          <w:b/>
          <w:i w:val="false"/>
          <w:caps w:val="false"/>
          <w:smallCaps w:val="false"/>
          <w:sz w:val="20"/>
          <w:u w:val="single"/>
        </w:rPr>
        <w:t>Exhibit 1</w:t>
      </w:r>
      <w:r>
        <w:rPr>
          <w:rFonts w:ascii="Times New Roman;Times;Serif" w:hAnsi="Times New Roman;Times;Serif"/>
          <w:b/>
          <w:i w:val="false"/>
          <w:caps w:val="false"/>
          <w:smallCaps w:val="false"/>
          <w:sz w:val="20"/>
        </w:rPr>
        <w:t xml:space="preserve"> to </w:t>
      </w:r>
      <w:r>
        <w:rPr>
          <w:rFonts w:ascii="Times New Roman;Times;Serif" w:hAnsi="Times New Roman;Times;Serif"/>
          <w:b/>
          <w:i w:val="false"/>
          <w:caps w:val="false"/>
          <w:smallCaps w:val="false"/>
          <w:sz w:val="20"/>
          <w:u w:val="single"/>
        </w:rPr>
        <w:t>Appendix C</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Madison Global Partners, LLC (the “</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is acting as the non-exclusive placement agent for the offering of the Debentures and Warrants contemplated by this Agreement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Investors are executing and delivering this Agreement in reliance upon an exemption from securities registration requirements of the Securities Act of 1933, as amended, afforded by the provisions of Section 4(a)(2) and/or Rule 506(b) of Regulation D promulgated thereunder by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contained in this Agreement, and for other good and valuable consideration, the receipt and adequacy of which are hereby acknowledged, the Company and each Investor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I</w:t>
        <w:br/>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(a) capitalized terms that are not otherwise defined herein have the meanings given to such terms in the Debentures (as defined herein), and (b) the following terms have the meanings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United States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has the meaning ascribed to such term in Section 3.01(j).</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Saturday, Sunday, any day which is a federal legal holiday in the United States or any day on which banking institutions in the State of New York are authorized or required by law or other governmental action to close.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for any Securities, the Business Day when all of the Transaction Documents for such Securities have been executed and delivered by the applicable parties thereto, and conditions precedent to: (i) the applicable Investors’ obligations to pay the Subscription Amount and (ii) the Company’s obligations to deliver such Securities have been satisfied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means the Common Shares, par value $0.0001 per share, of the Company,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Shares Equivalent</w:t>
      </w:r>
      <w:r>
        <w:rPr>
          <w:rFonts w:ascii="Times New Roman;Times;Serif" w:hAnsi="Times New Roman;Times;Serif"/>
          <w:b w:val="false"/>
          <w:i w:val="false"/>
          <w:caps w:val="false"/>
          <w:smallCaps w:val="false"/>
          <w:sz w:val="20"/>
        </w:rPr>
        <w:t>” means any warrant, Debenture, option or similar security or other right to subscribe for or purchase any additional Common Shares or any other such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Investor Questionnaire</w:t>
      </w:r>
      <w:r>
        <w:rPr>
          <w:rFonts w:ascii="Times New Roman;Times;Serif" w:hAnsi="Times New Roman;Times;Serif"/>
          <w:b w:val="false"/>
          <w:i w:val="false"/>
          <w:caps w:val="false"/>
          <w:smallCaps w:val="false"/>
          <w:sz w:val="20"/>
        </w:rPr>
        <w:t xml:space="preserve">” means the Confidential Investor Questionnaire attached as </w:t>
      </w:r>
      <w:r>
        <w:rPr>
          <w:rFonts w:ascii="Times New Roman;Times;Serif" w:hAnsi="Times New Roman;Times;Serif"/>
          <w:b/>
          <w:i w:val="false"/>
          <w:caps w:val="false"/>
          <w:smallCaps w:val="false"/>
          <w:sz w:val="20"/>
          <w:u w:val="single"/>
        </w:rPr>
        <w:t>Appendix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Conversion Shares” means Common Shares to be issued to the Investor upon conversion of the Debentures.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Debentures</w:t>
      </w:r>
      <w:r>
        <w:rPr>
          <w:rFonts w:ascii="Times New Roman;Times;Serif" w:hAnsi="Times New Roman;Times;Serif"/>
          <w:b w:val="false"/>
          <w:i w:val="false"/>
          <w:caps w:val="false"/>
          <w:smallCaps w:val="false"/>
          <w:sz w:val="20"/>
        </w:rPr>
        <w:t>” has the meaning provided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means the issuance of: (i) Common Shares or options to employees, officers, managers or directors of the Company pursuant to any stock or option plan duly adopted by a majority of the Board of Directors of the Company or a majority of the members of a committee of managers established for such purpose, (ii) Common Shares or options to management of the Company pursuant to any management incentive plan duly adopted by a majority of the Board of Directors of the Company or a majority of the members of a committee of directors established for such purpose, and (iii) Common Shares issued to an Investor in repayment of interest (if applicable) under any Debenture as agreed upon by the Company and the applicable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8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has the meaning ascribed to such term in Section 3.01(h).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has the meaning ascribed to such term in Section 3.01(o).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Investor</w:t>
      </w:r>
      <w:r>
        <w:rPr>
          <w:rFonts w:ascii="Times New Roman;Times;Serif" w:hAnsi="Times New Roman;Times;Serif"/>
          <w:b w:val="false"/>
          <w:i w:val="false"/>
          <w:caps w:val="false"/>
          <w:smallCaps w:val="false"/>
          <w:sz w:val="20"/>
        </w:rPr>
        <w:t>” means the Investor having the largest aggregate Subscription Amount as of the initial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has the meaning ascribed to such term in Section 4.01(c).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shall mean a lien, charge, security interest, encumbrance, right of first refusal, preemptive right or other restriction or adverse claim of a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has the meaning ascribed to such term in Section 3.01(b).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Offering Amount</w:t>
      </w:r>
      <w:r>
        <w:rPr>
          <w:rFonts w:ascii="Times New Roman;Times;Serif" w:hAnsi="Times New Roman;Times;Serif"/>
          <w:b w:val="false"/>
          <w:i w:val="false"/>
          <w:caps w:val="false"/>
          <w:smallCaps w:val="false"/>
          <w:sz w:val="20"/>
        </w:rPr>
        <w:t>” means an aggregate Subscription Amount of up to $1,350,000 equating to an aggregate maximum principal amount of Debentures of $1,350,000.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has the meaning ascribed to such term in Section 3.01(n).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has the meaning ascribed to such term in the recitals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joint-venture, limited liability company, joint-stock company, government (or an agency or subdivision thereof) or other entity of any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has the meaning ascribed to such term in Section 3.01(e).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has the meaning ascribed to such term in Section 3.01(h).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Debentures and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 Securities Laws</w:t>
      </w:r>
      <w:r>
        <w:rPr>
          <w:rFonts w:ascii="Times New Roman;Times;Serif" w:hAnsi="Times New Roman;Times;Serif"/>
          <w:b w:val="false"/>
          <w:i w:val="false"/>
          <w:caps w:val="false"/>
          <w:smallCaps w:val="false"/>
          <w:sz w:val="20"/>
        </w:rPr>
        <w:t>” means the securities (or “blue sky”) rules, regulations, or other similar laws of a particular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Investor, the aggregate amount to be paid for Securities purchased hereunder as specified below such Investor’s name on the signature page of this Agreement and next to the heading “Aggregate Subscription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disclosed pursuant to Section 3.01(a) and shall, where applicable, include any direct or indirect subsidiary of the Company formed or acquired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means a date determined by the Company on which the offering of the Securities shall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principal Trading Market is open for trading or quoting.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Shares are listed or quoted for trading on the date in question: the Nasdaq Stock Market LLC (“Nasdaq”) (or any successor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Debentures, the Warrants, the Security Agreement, the Registration Rights Agreement and all appendices, exhibits and schedules hereto and thereto and any other documents or agreements executed in connection with the transactions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Securities</w:t>
      </w:r>
      <w:r>
        <w:rPr>
          <w:rFonts w:ascii="Times New Roman;Times;Serif" w:hAnsi="Times New Roman;Times;Serif"/>
          <w:b w:val="false"/>
          <w:i w:val="false"/>
          <w:caps w:val="false"/>
          <w:smallCaps w:val="false"/>
          <w:sz w:val="20"/>
        </w:rPr>
        <w:t>” means the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has the meaning provided in the recitals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Common Shares and/or other securities issuable upon the exercise of the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II</w:t>
        <w:br/>
      </w:r>
      <w:r>
        <w:rPr>
          <w:rFonts w:ascii="Times New Roman;Times;Serif" w:hAnsi="Times New Roman;Times;Serif"/>
          <w:b/>
          <w:i w:val="false"/>
          <w:caps w:val="false"/>
          <w:smallCaps w:val="false"/>
          <w:sz w:val="20"/>
        </w:rPr>
        <w:t>PURCHASE AND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substantially concurrent with the execution and delivery of this Agreement by the parties hereto, the Company agrees to sell, and the Investors, severally and not jointly, agree to purchase the Securities. At the Closing, the Investors shall deliver, via wire transfer, immediately available funds equal to the Investors’ aggregate Subscription Amounts as set forth hereinbelow and the Company shall deliver to each Investor its Securities. The Company and each Investor shall deliver the other items set forth in Section 2.01 deliverable at the Closing. Upon satisfaction of the conditions set forth in Section 2.01 and Section 2.03, the Closing shall occur at the offices of Placement Agent’s counsel, or such other location as the parties shall mutually agree or may be closed remotely by electronic delivery of documents. The Company may conduct multiple closings for the sale of the Securities until it has received the total offering amount of up to $1,350,000, if necessary. The Closing Date for any Securities shall be the date indicated on the applicable Investor signature pages attached hereto and the final Closing Date shall be no later than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By Each Investor</w:t>
      </w:r>
      <w:r>
        <w:rPr>
          <w:rFonts w:ascii="Times New Roman;Times;Serif" w:hAnsi="Times New Roman;Times;Serif"/>
          <w:b w:val="false"/>
          <w:i w:val="false"/>
          <w:caps w:val="false"/>
          <w:smallCaps w:val="false"/>
          <w:sz w:val="20"/>
        </w:rPr>
        <w:t>. On or prior to the Closing Date, each Investor shall deliver or cause to be delivered to the Company the following:</w:t>
      </w:r>
    </w:p>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245"/>
        <w:gridCol w:w="9755"/>
      </w:tblGrid>
      <w:tr>
        <w:trPr/>
        <w:tc>
          <w:tcPr>
            <w:tcW w:w="245" w:type="dxa"/>
            <w:tcBorders/>
            <w:vAlign w:val="center"/>
          </w:tcPr>
          <w:p>
            <w:pPr>
              <w:pStyle w:val="TableContents"/>
              <w:bidi w:val="0"/>
              <w:spacing w:before="0" w:after="283"/>
              <w:jc w:val="left"/>
              <w:rPr/>
            </w:pPr>
            <w:r>
              <w:rPr/>
              <w:t>(i)</w:t>
            </w:r>
          </w:p>
        </w:tc>
        <w:tc>
          <w:tcPr>
            <w:tcW w:w="9755" w:type="dxa"/>
            <w:tcBorders/>
            <w:vAlign w:val="center"/>
          </w:tcPr>
          <w:p>
            <w:pPr>
              <w:pStyle w:val="TableContents"/>
              <w:bidi w:val="0"/>
              <w:spacing w:before="0" w:after="283"/>
              <w:jc w:val="both"/>
              <w:rPr/>
            </w:pPr>
            <w:r>
              <w:rPr/>
              <w:t xml:space="preserve">this Agreement, including a fully completed </w:t>
            </w:r>
            <w:r>
              <w:rPr>
                <w:b/>
                <w:u w:val="single"/>
              </w:rPr>
              <w:t>Annex A</w:t>
            </w:r>
            <w:r>
              <w:rPr/>
              <w:t xml:space="preserve"> attached hereto, duly executed by such Investor;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(ii)</w:t>
            </w:r>
          </w:p>
        </w:tc>
        <w:tc>
          <w:tcPr>
            <w:tcW w:w="9923" w:type="dxa"/>
            <w:tcBorders/>
            <w:vAlign w:val="center"/>
          </w:tcPr>
          <w:p>
            <w:pPr>
              <w:pStyle w:val="TableContents"/>
              <w:bidi w:val="0"/>
              <w:spacing w:before="0" w:after="283"/>
              <w:jc w:val="both"/>
              <w:rPr/>
            </w:pPr>
            <w:r>
              <w:rPr/>
              <w:t>such Investor’s Subscription Amount by wire transfer to the Company pursuant to the wiring instructions set forth in Section 2.03(c) below;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pPr>
            <w:r>
              <w:rPr/>
              <w:t>(iii)</w:t>
            </w:r>
          </w:p>
        </w:tc>
        <w:tc>
          <w:tcPr>
            <w:tcW w:w="9850" w:type="dxa"/>
            <w:tcBorders/>
            <w:vAlign w:val="center"/>
          </w:tcPr>
          <w:p>
            <w:pPr>
              <w:pStyle w:val="TableContents"/>
              <w:bidi w:val="0"/>
              <w:spacing w:before="0" w:after="283"/>
              <w:jc w:val="both"/>
              <w:rPr/>
            </w:pPr>
            <w:r>
              <w:rPr/>
              <w:t xml:space="preserve">a duly completed and signed Confidential Investor Questionnaire, a copy of which is attached hereto as </w:t>
            </w:r>
            <w:r>
              <w:rPr>
                <w:b/>
                <w:u w:val="single"/>
              </w:rPr>
              <w:t>Appendix A</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By the Company</w:t>
      </w:r>
      <w:r>
        <w:rPr>
          <w:rFonts w:ascii="Times New Roman;Times;Serif" w:hAnsi="Times New Roman;Times;Serif"/>
          <w:b w:val="false"/>
          <w:i w:val="false"/>
          <w:caps w:val="false"/>
          <w:smallCaps w:val="false"/>
          <w:sz w:val="20"/>
        </w:rPr>
        <w:t>. On or prior to the Closing Date, the Company shall deliver or cause to be delivered to each Investor the following:</w:t>
      </w:r>
    </w:p>
    <w:p>
      <w:pPr>
        <w:pStyle w:val="TextBody"/>
        <w:bidi w:val="0"/>
        <w:spacing w:before="0" w:after="0"/>
        <w:ind w:left="0" w:right="0" w:hanging="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215"/>
        <w:gridCol w:w="6665"/>
      </w:tblGrid>
      <w:tr>
        <w:trPr/>
        <w:tc>
          <w:tcPr>
            <w:tcW w:w="215" w:type="dxa"/>
            <w:tcBorders/>
            <w:vAlign w:val="center"/>
          </w:tcPr>
          <w:p>
            <w:pPr>
              <w:pStyle w:val="TableContents"/>
              <w:bidi w:val="0"/>
              <w:spacing w:before="0" w:after="283"/>
              <w:jc w:val="left"/>
              <w:rPr>
                <w:sz w:val="20"/>
              </w:rPr>
            </w:pPr>
            <w:r>
              <w:rPr>
                <w:sz w:val="20"/>
              </w:rPr>
              <w:t>(i)</w:t>
            </w:r>
          </w:p>
        </w:tc>
        <w:tc>
          <w:tcPr>
            <w:tcW w:w="6665" w:type="dxa"/>
            <w:tcBorders/>
            <w:vAlign w:val="center"/>
          </w:tcPr>
          <w:p>
            <w:pPr>
              <w:pStyle w:val="TableContents"/>
              <w:bidi w:val="0"/>
              <w:spacing w:before="0" w:after="283"/>
              <w:jc w:val="both"/>
              <w:rPr>
                <w:sz w:val="20"/>
              </w:rPr>
            </w:pPr>
            <w:r>
              <w:rPr>
                <w:sz w:val="20"/>
              </w:rPr>
              <w:t>this Agreement, duly executed by an authorized officer of behalf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sz w:val="20"/>
              </w:rPr>
            </w:pPr>
            <w:r>
              <w:rPr>
                <w:sz w:val="20"/>
              </w:rPr>
              <w:t>(ii)</w:t>
            </w:r>
          </w:p>
        </w:tc>
        <w:tc>
          <w:tcPr>
            <w:tcW w:w="9964" w:type="dxa"/>
            <w:tcBorders/>
            <w:vAlign w:val="center"/>
          </w:tcPr>
          <w:p>
            <w:pPr>
              <w:pStyle w:val="TableContents"/>
              <w:bidi w:val="0"/>
              <w:spacing w:before="0" w:after="283"/>
              <w:jc w:val="both"/>
              <w:rPr>
                <w:sz w:val="20"/>
              </w:rPr>
            </w:pPr>
            <w:r>
              <w:rPr>
                <w:sz w:val="20"/>
              </w:rPr>
              <w:t xml:space="preserve">a Debenture, the form of which is attached hereto as </w:t>
            </w:r>
            <w:r>
              <w:rPr>
                <w:b/>
                <w:sz w:val="20"/>
                <w:u w:val="single"/>
              </w:rPr>
              <w:t>Appendix B</w:t>
            </w:r>
            <w:r>
              <w:rPr>
                <w:sz w:val="20"/>
              </w:rPr>
              <w:t>, registered in the name of such Investor (or its designee), with a principal amount equal to such Investor’s original principal amount, duly executed by an authorized officer of behalf of the Company;</w:t>
            </w:r>
          </w:p>
        </w:tc>
      </w:tr>
    </w:tbl>
    <w:p>
      <w:pPr>
        <w:pStyle w:val="TextBody"/>
        <w:bidi w:val="0"/>
        <w:spacing w:before="0" w:after="0"/>
        <w:ind w:left="0" w:right="0" w:firstLine="144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335"/>
        <w:gridCol w:w="2000"/>
      </w:tblGrid>
      <w:tr>
        <w:trPr/>
        <w:tc>
          <w:tcPr>
            <w:tcW w:w="335" w:type="dxa"/>
            <w:tcBorders/>
            <w:vAlign w:val="center"/>
          </w:tcPr>
          <w:p>
            <w:pPr>
              <w:pStyle w:val="TableContents"/>
              <w:bidi w:val="0"/>
              <w:spacing w:before="0" w:after="283"/>
              <w:jc w:val="left"/>
              <w:rPr>
                <w:sz w:val="20"/>
              </w:rPr>
            </w:pPr>
            <w:r>
              <w:rPr>
                <w:sz w:val="20"/>
              </w:rPr>
              <w:t>(iii)</w:t>
            </w:r>
          </w:p>
        </w:tc>
        <w:tc>
          <w:tcPr>
            <w:tcW w:w="2000" w:type="dxa"/>
            <w:tcBorders/>
            <w:vAlign w:val="center"/>
          </w:tcPr>
          <w:p>
            <w:pPr>
              <w:pStyle w:val="TableContents"/>
              <w:bidi w:val="0"/>
              <w:spacing w:before="0" w:after="283"/>
              <w:jc w:val="both"/>
              <w:rPr>
                <w:sz w:val="20"/>
              </w:rPr>
            </w:pPr>
            <w:r>
              <w:rPr>
                <w:sz w:val="20"/>
              </w:rPr>
              <w:t>the Security Agreement;</w:t>
            </w:r>
          </w:p>
        </w:tc>
      </w:tr>
    </w:tbl>
    <w:p>
      <w:pPr>
        <w:pStyle w:val="TextBody"/>
        <w:bidi w:val="0"/>
        <w:spacing w:before="0" w:after="0"/>
        <w:ind w:left="0" w:right="0" w:firstLine="144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320"/>
        <w:gridCol w:w="2915"/>
      </w:tblGrid>
      <w:tr>
        <w:trPr/>
        <w:tc>
          <w:tcPr>
            <w:tcW w:w="320" w:type="dxa"/>
            <w:tcBorders/>
            <w:vAlign w:val="center"/>
          </w:tcPr>
          <w:p>
            <w:pPr>
              <w:pStyle w:val="TableContents"/>
              <w:bidi w:val="0"/>
              <w:spacing w:before="0" w:after="283"/>
              <w:jc w:val="left"/>
              <w:rPr>
                <w:sz w:val="20"/>
              </w:rPr>
            </w:pPr>
            <w:r>
              <w:rPr>
                <w:sz w:val="20"/>
              </w:rPr>
              <w:t>(iv)</w:t>
            </w:r>
          </w:p>
        </w:tc>
        <w:tc>
          <w:tcPr>
            <w:tcW w:w="2915" w:type="dxa"/>
            <w:tcBorders/>
            <w:vAlign w:val="center"/>
          </w:tcPr>
          <w:p>
            <w:pPr>
              <w:pStyle w:val="TableContents"/>
              <w:bidi w:val="0"/>
              <w:spacing w:before="0" w:after="283"/>
              <w:jc w:val="both"/>
              <w:rPr>
                <w:sz w:val="20"/>
              </w:rPr>
            </w:pPr>
            <w:r>
              <w:rPr>
                <w:sz w:val="20"/>
              </w:rPr>
              <w:t>the Registration Rights Agreement;</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sz w:val="20"/>
              </w:rPr>
            </w:pPr>
            <w:r>
              <w:rPr>
                <w:sz w:val="20"/>
              </w:rPr>
              <w:t>(v)</w:t>
            </w:r>
          </w:p>
        </w:tc>
        <w:tc>
          <w:tcPr>
            <w:tcW w:w="9948" w:type="dxa"/>
            <w:tcBorders/>
            <w:vAlign w:val="center"/>
          </w:tcPr>
          <w:p>
            <w:pPr>
              <w:pStyle w:val="TableContents"/>
              <w:bidi w:val="0"/>
              <w:spacing w:before="0" w:after="283"/>
              <w:jc w:val="both"/>
              <w:rPr>
                <w:sz w:val="20"/>
              </w:rPr>
            </w:pPr>
            <w:r>
              <w:rPr>
                <w:sz w:val="20"/>
              </w:rPr>
              <w:t>a legal opinion of Company Counsel, substantially in the form acceptable to the Placement Agent and each of the Purchaser(s);</w:t>
            </w:r>
          </w:p>
        </w:tc>
      </w:tr>
    </w:tbl>
    <w:p>
      <w:pPr>
        <w:pStyle w:val="TextBody"/>
        <w:bidi w:val="0"/>
        <w:spacing w:before="0" w:after="0"/>
        <w:ind w:left="0" w:right="0" w:firstLine="144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320"/>
        <w:gridCol w:w="8675"/>
      </w:tblGrid>
      <w:tr>
        <w:trPr/>
        <w:tc>
          <w:tcPr>
            <w:tcW w:w="320" w:type="dxa"/>
            <w:tcBorders/>
            <w:vAlign w:val="center"/>
          </w:tcPr>
          <w:p>
            <w:pPr>
              <w:pStyle w:val="TableContents"/>
              <w:bidi w:val="0"/>
              <w:spacing w:before="0" w:after="283"/>
              <w:jc w:val="left"/>
              <w:rPr>
                <w:sz w:val="20"/>
              </w:rPr>
            </w:pPr>
            <w:r>
              <w:rPr>
                <w:sz w:val="20"/>
              </w:rPr>
              <w:t>(vi)</w:t>
            </w:r>
          </w:p>
        </w:tc>
        <w:tc>
          <w:tcPr>
            <w:tcW w:w="8675" w:type="dxa"/>
            <w:tcBorders/>
            <w:vAlign w:val="center"/>
          </w:tcPr>
          <w:p>
            <w:pPr>
              <w:pStyle w:val="TableContents"/>
              <w:bidi w:val="0"/>
              <w:spacing w:before="0" w:after="283"/>
              <w:jc w:val="both"/>
              <w:rPr>
                <w:sz w:val="20"/>
              </w:rPr>
            </w:pPr>
            <w:r>
              <w:rPr>
                <w:sz w:val="20"/>
              </w:rPr>
              <w:t>a CFO certificate, substantially in the form acceptable to the Placement Agent and each of the Purchaser(s);</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sz w:val="20"/>
              </w:rPr>
            </w:pPr>
            <w:r>
              <w:rPr>
                <w:sz w:val="20"/>
              </w:rPr>
              <w:t>(vii)</w:t>
            </w:r>
          </w:p>
        </w:tc>
        <w:tc>
          <w:tcPr>
            <w:tcW w:w="9865" w:type="dxa"/>
            <w:tcBorders/>
            <w:vAlign w:val="center"/>
          </w:tcPr>
          <w:p>
            <w:pPr>
              <w:pStyle w:val="TableContents"/>
              <w:bidi w:val="0"/>
              <w:spacing w:before="0" w:after="283"/>
              <w:jc w:val="both"/>
              <w:rPr>
                <w:sz w:val="20"/>
              </w:rPr>
            </w:pPr>
            <w:r>
              <w:rPr>
                <w:sz w:val="20"/>
              </w:rPr>
              <w:t xml:space="preserve">a Warrant instrument, the form of which is attached as </w:t>
            </w:r>
            <w:r>
              <w:rPr>
                <w:b/>
                <w:sz w:val="20"/>
                <w:u w:val="single"/>
              </w:rPr>
              <w:t>Exhibit 1</w:t>
            </w:r>
            <w:r>
              <w:rPr>
                <w:b/>
                <w:sz w:val="20"/>
              </w:rPr>
              <w:t xml:space="preserve"> to </w:t>
            </w:r>
            <w:r>
              <w:rPr>
                <w:b/>
                <w:sz w:val="20"/>
                <w:u w:val="single"/>
              </w:rPr>
              <w:t>Appendix C</w:t>
            </w:r>
            <w:r>
              <w:rPr>
                <w:sz w:val="20"/>
              </w:rPr>
              <w:t>, registered in the name of such Investor (or its designee) and duly executed by an authorized officer of behalf of the Company, to initially purchase additional Common Shares, with a coverage ratio of one and one third (4/3) of the principal amount invested;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7"/>
        <w:gridCol w:w="9808"/>
      </w:tblGrid>
      <w:tr>
        <w:trPr/>
        <w:tc>
          <w:tcPr>
            <w:tcW w:w="397" w:type="dxa"/>
            <w:tcBorders/>
            <w:vAlign w:val="center"/>
          </w:tcPr>
          <w:p>
            <w:pPr>
              <w:pStyle w:val="TableContents"/>
              <w:bidi w:val="0"/>
              <w:spacing w:before="0" w:after="283"/>
              <w:jc w:val="left"/>
              <w:rPr>
                <w:sz w:val="20"/>
              </w:rPr>
            </w:pPr>
            <w:r>
              <w:rPr>
                <w:sz w:val="20"/>
              </w:rPr>
              <w:t>(viii)</w:t>
            </w:r>
          </w:p>
        </w:tc>
        <w:tc>
          <w:tcPr>
            <w:tcW w:w="9808" w:type="dxa"/>
            <w:tcBorders/>
            <w:vAlign w:val="center"/>
          </w:tcPr>
          <w:p>
            <w:pPr>
              <w:pStyle w:val="TableContents"/>
              <w:bidi w:val="0"/>
              <w:spacing w:before="0" w:after="283"/>
              <w:jc w:val="both"/>
              <w:rPr>
                <w:sz w:val="20"/>
              </w:rPr>
            </w:pPr>
            <w:r>
              <w:rPr>
                <w:sz w:val="20"/>
              </w:rPr>
              <w:t>an officer’s certificate of the Company certifying the Company’s: (a) certified certificate of formation; (b), bylaws and/or any similar governing document(s); and (c) resolutions of its Board of Directors (or similar governing body) approving and authorizing the execution, delivery and performance of the Transaction Documents and the transactions contemplated thereby.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sz w:val="20"/>
              </w:rPr>
            </w:pPr>
            <w:r>
              <w:rPr>
                <w:sz w:val="20"/>
              </w:rPr>
              <w:t>(i)</w:t>
            </w:r>
          </w:p>
        </w:tc>
        <w:tc>
          <w:tcPr>
            <w:tcW w:w="9991" w:type="dxa"/>
            <w:tcBorders/>
            <w:vAlign w:val="center"/>
          </w:tcPr>
          <w:p>
            <w:pPr>
              <w:pStyle w:val="TableContents"/>
              <w:bidi w:val="0"/>
              <w:spacing w:before="0" w:after="283"/>
              <w:jc w:val="both"/>
              <w:rPr>
                <w:sz w:val="20"/>
              </w:rPr>
            </w:pPr>
            <w:r>
              <w:rPr>
                <w:sz w:val="20"/>
              </w:rPr>
              <w:t>the accuracy in all material respects on the Closing Date of each Investor’s representations and warranties contained 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sz w:val="20"/>
              </w:rPr>
            </w:pPr>
            <w:r>
              <w:rPr>
                <w:sz w:val="20"/>
              </w:rPr>
              <w:t>(ii)</w:t>
            </w:r>
          </w:p>
        </w:tc>
        <w:tc>
          <w:tcPr>
            <w:tcW w:w="9941" w:type="dxa"/>
            <w:tcBorders/>
            <w:vAlign w:val="center"/>
          </w:tcPr>
          <w:p>
            <w:pPr>
              <w:pStyle w:val="TableContents"/>
              <w:bidi w:val="0"/>
              <w:spacing w:before="0" w:after="283"/>
              <w:jc w:val="both"/>
              <w:rPr>
                <w:sz w:val="20"/>
              </w:rPr>
            </w:pPr>
            <w:r>
              <w:rPr>
                <w:sz w:val="20"/>
              </w:rPr>
              <w:t>all obligations, covenants and agreements of each Investor required to be performed at or prior to the Closing Date shall have been performed; and</w:t>
            </w:r>
          </w:p>
        </w:tc>
      </w:tr>
    </w:tbl>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335"/>
        <w:gridCol w:w="7100"/>
      </w:tblGrid>
      <w:tr>
        <w:trPr/>
        <w:tc>
          <w:tcPr>
            <w:tcW w:w="335" w:type="dxa"/>
            <w:tcBorders/>
            <w:vAlign w:val="center"/>
          </w:tcPr>
          <w:p>
            <w:pPr>
              <w:pStyle w:val="TableContents"/>
              <w:bidi w:val="0"/>
              <w:spacing w:before="0" w:after="283"/>
              <w:jc w:val="left"/>
              <w:rPr>
                <w:sz w:val="20"/>
              </w:rPr>
            </w:pPr>
            <w:r>
              <w:rPr>
                <w:sz w:val="20"/>
              </w:rPr>
              <w:t>(iii)</w:t>
            </w:r>
          </w:p>
        </w:tc>
        <w:tc>
          <w:tcPr>
            <w:tcW w:w="7100" w:type="dxa"/>
            <w:tcBorders/>
            <w:vAlign w:val="center"/>
          </w:tcPr>
          <w:p>
            <w:pPr>
              <w:pStyle w:val="TableContents"/>
              <w:bidi w:val="0"/>
              <w:spacing w:before="0" w:after="283"/>
              <w:jc w:val="both"/>
              <w:rPr>
                <w:sz w:val="20"/>
              </w:rPr>
            </w:pPr>
            <w:r>
              <w:rPr>
                <w:sz w:val="20"/>
              </w:rPr>
              <w:t>the delivery by each Investor of the items set forth in Section 2.02(a)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Investors hereunder in connection with the Closing are subject to the following conditions being met (it being understood that the Company may waive any of the conditions for any Closing hereafter):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sz w:val="20"/>
              </w:rPr>
            </w:pPr>
            <w:r>
              <w:rPr>
                <w:sz w:val="20"/>
              </w:rPr>
              <w:t>(i)</w:t>
            </w:r>
          </w:p>
        </w:tc>
        <w:tc>
          <w:tcPr>
            <w:tcW w:w="10031" w:type="dxa"/>
            <w:tcBorders/>
            <w:vAlign w:val="center"/>
          </w:tcPr>
          <w:p>
            <w:pPr>
              <w:pStyle w:val="TableContents"/>
              <w:bidi w:val="0"/>
              <w:spacing w:before="0" w:after="283"/>
              <w:jc w:val="both"/>
              <w:rPr>
                <w:sz w:val="20"/>
              </w:rPr>
            </w:pPr>
            <w:r>
              <w:rPr>
                <w:sz w:val="20"/>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sz w:val="20"/>
              </w:rPr>
            </w:pPr>
            <w:r>
              <w:rPr>
                <w:sz w:val="20"/>
              </w:rPr>
              <w:t>(ii)</w:t>
            </w:r>
          </w:p>
        </w:tc>
        <w:tc>
          <w:tcPr>
            <w:tcW w:w="9940" w:type="dxa"/>
            <w:tcBorders/>
            <w:vAlign w:val="center"/>
          </w:tcPr>
          <w:p>
            <w:pPr>
              <w:pStyle w:val="TableContents"/>
              <w:bidi w:val="0"/>
              <w:spacing w:before="0" w:after="283"/>
              <w:jc w:val="both"/>
              <w:rPr>
                <w:sz w:val="20"/>
              </w:rPr>
            </w:pPr>
            <w:r>
              <w:rPr>
                <w:sz w:val="20"/>
              </w:rPr>
              <w:t>all obligations, covenants and agreements of the Company required to be performed at or prior to the Closing Date shall have been performed;</w:t>
            </w:r>
          </w:p>
        </w:tc>
      </w:tr>
    </w:tbl>
    <w:p>
      <w:pPr>
        <w:pStyle w:val="TextBody"/>
        <w:bidi w:val="0"/>
        <w:spacing w:before="0" w:after="0"/>
        <w:ind w:left="0" w:right="0" w:hanging="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335"/>
        <w:gridCol w:w="7490"/>
      </w:tblGrid>
      <w:tr>
        <w:trPr/>
        <w:tc>
          <w:tcPr>
            <w:tcW w:w="335" w:type="dxa"/>
            <w:tcBorders/>
            <w:vAlign w:val="center"/>
          </w:tcPr>
          <w:p>
            <w:pPr>
              <w:pStyle w:val="TableContents"/>
              <w:bidi w:val="0"/>
              <w:spacing w:before="0" w:after="283"/>
              <w:jc w:val="left"/>
              <w:rPr>
                <w:sz w:val="20"/>
              </w:rPr>
            </w:pPr>
            <w:r>
              <w:rPr>
                <w:sz w:val="20"/>
              </w:rPr>
              <w:t>(iii)</w:t>
            </w:r>
          </w:p>
        </w:tc>
        <w:tc>
          <w:tcPr>
            <w:tcW w:w="7490" w:type="dxa"/>
            <w:tcBorders/>
            <w:vAlign w:val="center"/>
          </w:tcPr>
          <w:p>
            <w:pPr>
              <w:pStyle w:val="TableContents"/>
              <w:bidi w:val="0"/>
              <w:spacing w:before="0" w:after="283"/>
              <w:jc w:val="both"/>
              <w:rPr>
                <w:sz w:val="20"/>
              </w:rPr>
            </w:pPr>
            <w:r>
              <w:rPr>
                <w:sz w:val="20"/>
              </w:rPr>
              <w:t>the delivery by the Company of the items set forth in Section 2.02(b) of this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320"/>
        <w:gridCol w:w="8090"/>
      </w:tblGrid>
      <w:tr>
        <w:trPr/>
        <w:tc>
          <w:tcPr>
            <w:tcW w:w="320" w:type="dxa"/>
            <w:tcBorders/>
            <w:vAlign w:val="center"/>
          </w:tcPr>
          <w:p>
            <w:pPr>
              <w:pStyle w:val="TableContents"/>
              <w:bidi w:val="0"/>
              <w:spacing w:before="0" w:after="283"/>
              <w:jc w:val="left"/>
              <w:rPr>
                <w:sz w:val="20"/>
              </w:rPr>
            </w:pPr>
            <w:r>
              <w:rPr>
                <w:sz w:val="20"/>
              </w:rPr>
              <w:t>(iv)</w:t>
            </w:r>
          </w:p>
        </w:tc>
        <w:tc>
          <w:tcPr>
            <w:tcW w:w="8090" w:type="dxa"/>
            <w:tcBorders/>
            <w:vAlign w:val="center"/>
          </w:tcPr>
          <w:p>
            <w:pPr>
              <w:pStyle w:val="TableContents"/>
              <w:bidi w:val="0"/>
              <w:spacing w:before="0" w:after="283"/>
              <w:jc w:val="both"/>
              <w:rPr>
                <w:sz w:val="20"/>
              </w:rPr>
            </w:pPr>
            <w:r>
              <w:rPr>
                <w:sz w:val="20"/>
              </w:rPr>
              <w:t>there shall have been no Material Adverse Effect with respect to the Company since the date 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wiring instructions for the Company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000000" w:val="clear"/>
        </w:rPr>
      </w:pPr>
      <w:r>
        <w:rPr>
          <w:rFonts w:ascii="Times New Roman;Times;Serif" w:hAnsi="Times New Roman;Times;Serif"/>
          <w:b/>
          <w:i w:val="false"/>
          <w:caps w:val="false"/>
          <w:smallCaps w:val="false"/>
          <w:sz w:val="20"/>
          <w:shd w:fill="000000" w:val="clear"/>
        </w:rPr>
        <w:t>For Domestic and International Wires: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shd w:fill="000000" w:val="clear"/>
        </w:rPr>
      </w:pPr>
      <w:r>
        <w:rPr>
          <w:rFonts w:ascii="Times New Roman;Times;Serif" w:hAnsi="Times New Roman;Times;Serif"/>
          <w:b w:val="false"/>
          <w:i w:val="false"/>
          <w:caps w:val="false"/>
          <w:smallCaps w:val="false"/>
          <w:sz w:val="20"/>
          <w:shd w:fill="000000" w:val="clear"/>
        </w:rPr>
        <w:t>Bank of America</w:t>
      </w:r>
    </w:p>
    <w:p>
      <w:pPr>
        <w:pStyle w:val="TextBody"/>
        <w:bidi w:val="0"/>
        <w:spacing w:before="0" w:after="0"/>
        <w:jc w:val="center"/>
        <w:rPr>
          <w:rFonts w:ascii="Times New Roman;Times;Serif" w:hAnsi="Times New Roman;Times;Serif"/>
          <w:b w:val="false"/>
          <w:i w:val="false"/>
          <w:caps w:val="false"/>
          <w:smallCaps w:val="false"/>
          <w:sz w:val="20"/>
          <w:shd w:fill="000000" w:val="clear"/>
        </w:rPr>
      </w:pPr>
      <w:r>
        <w:rPr>
          <w:rFonts w:ascii="Times New Roman;Times;Serif" w:hAnsi="Times New Roman;Times;Serif"/>
          <w:b w:val="false"/>
          <w:i w:val="false"/>
          <w:caps w:val="false"/>
          <w:smallCaps w:val="false"/>
          <w:sz w:val="20"/>
          <w:shd w:fill="000000" w:val="clear"/>
        </w:rPr>
        <w:t>Bank Address: 222 Broadway, New York, NY 10038</w:t>
      </w:r>
    </w:p>
    <w:p>
      <w:pPr>
        <w:pStyle w:val="TextBody"/>
        <w:bidi w:val="0"/>
        <w:spacing w:before="0" w:after="0"/>
        <w:jc w:val="center"/>
        <w:rPr>
          <w:rFonts w:ascii="Times New Roman;Times;Serif" w:hAnsi="Times New Roman;Times;Serif"/>
          <w:b w:val="false"/>
          <w:i w:val="false"/>
          <w:caps w:val="false"/>
          <w:smallCaps w:val="false"/>
          <w:sz w:val="20"/>
          <w:shd w:fill="000000" w:val="clear"/>
        </w:rPr>
      </w:pPr>
      <w:r>
        <w:rPr>
          <w:rFonts w:ascii="Times New Roman;Times;Serif" w:hAnsi="Times New Roman;Times;Serif"/>
          <w:b w:val="false"/>
          <w:i w:val="false"/>
          <w:caps w:val="false"/>
          <w:smallCaps w:val="false"/>
          <w:sz w:val="20"/>
          <w:shd w:fill="000000" w:val="clear"/>
        </w:rPr>
        <w:t>Account Name: authID Inc.</w:t>
      </w:r>
    </w:p>
    <w:p>
      <w:pPr>
        <w:pStyle w:val="TextBody"/>
        <w:bidi w:val="0"/>
        <w:spacing w:before="0" w:after="0"/>
        <w:jc w:val="center"/>
        <w:rPr>
          <w:rFonts w:ascii="Times New Roman;Times;Serif" w:hAnsi="Times New Roman;Times;Serif"/>
          <w:b w:val="false"/>
          <w:i w:val="false"/>
          <w:caps w:val="false"/>
          <w:smallCaps w:val="false"/>
          <w:sz w:val="20"/>
          <w:shd w:fill="000000" w:val="clear"/>
        </w:rPr>
      </w:pPr>
      <w:r>
        <w:rPr>
          <w:rFonts w:ascii="Times New Roman;Times;Serif" w:hAnsi="Times New Roman;Times;Serif"/>
          <w:b w:val="false"/>
          <w:i w:val="false"/>
          <w:caps w:val="false"/>
          <w:smallCaps w:val="false"/>
          <w:sz w:val="20"/>
          <w:shd w:fill="000000" w:val="clear"/>
        </w:rPr>
        <w:t>Address:1580 N. Logan St., Suite 660-51767, Denver CO 80203</w:t>
      </w:r>
    </w:p>
    <w:p>
      <w:pPr>
        <w:pStyle w:val="TextBody"/>
        <w:bidi w:val="0"/>
        <w:spacing w:before="0" w:after="0"/>
        <w:jc w:val="center"/>
        <w:rPr>
          <w:rFonts w:ascii="Times New Roman;Times;Serif" w:hAnsi="Times New Roman;Times;Serif"/>
          <w:b w:val="false"/>
          <w:i w:val="false"/>
          <w:caps w:val="false"/>
          <w:smallCaps w:val="false"/>
          <w:sz w:val="20"/>
          <w:shd w:fill="000000" w:val="clear"/>
        </w:rPr>
      </w:pPr>
      <w:r>
        <w:rPr>
          <w:rFonts w:ascii="Times New Roman;Times;Serif" w:hAnsi="Times New Roman;Times;Serif"/>
          <w:b w:val="false"/>
          <w:i w:val="false"/>
          <w:caps w:val="false"/>
          <w:smallCaps w:val="false"/>
          <w:sz w:val="20"/>
          <w:shd w:fill="000000" w:val="clear"/>
        </w:rPr>
        <w:t>Account Number:</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000000" w:val="clear"/>
        </w:rPr>
      </w:pPr>
      <w:r>
        <w:rPr>
          <w:rFonts w:ascii="Times New Roman;Times;Serif" w:hAnsi="Times New Roman;Times;Serif"/>
          <w:b w:val="false"/>
          <w:i w:val="false"/>
          <w:caps w:val="false"/>
          <w:smallCaps w:val="false"/>
          <w:sz w:val="20"/>
          <w:shd w:fill="000000" w:val="clear"/>
        </w:rPr>
        <w:t>4830 4364 4231</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000000" w:val="clear"/>
        </w:rPr>
      </w:pPr>
      <w:r>
        <w:rPr>
          <w:rFonts w:ascii="Times New Roman;Times;Serif" w:hAnsi="Times New Roman;Times;Serif"/>
          <w:b w:val="false"/>
          <w:i w:val="false"/>
          <w:caps w:val="false"/>
          <w:smallCaps w:val="false"/>
          <w:sz w:val="20"/>
          <w:shd w:fill="000000" w:val="clear"/>
        </w:rPr>
        <w:t>ABA Number: 026009593</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000000" w:val="clear"/>
        </w:rPr>
      </w:pPr>
      <w:r>
        <w:rPr>
          <w:rFonts w:ascii="Times New Roman;Times;Serif" w:hAnsi="Times New Roman;Times;Serif"/>
          <w:b w:val="false"/>
          <w:i w:val="false"/>
          <w:caps w:val="false"/>
          <w:smallCaps w:val="false"/>
          <w:sz w:val="20"/>
          <w:shd w:fill="000000" w:val="clear"/>
        </w:rPr>
        <w:t>SWIFT: BOFAUS3N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each Investor that, except as set forth on the Disclosure Schedule to this Agreement delivered by the Company to the Lead Investor on or before the initial Closing Date (the “</w:t>
      </w:r>
      <w:r>
        <w:rPr>
          <w:rFonts w:ascii="Times New Roman;Times;Serif" w:hAnsi="Times New Roman;Times;Serif"/>
          <w:b/>
          <w:i w:val="false"/>
          <w:caps w:val="false"/>
          <w:smallCaps w:val="false"/>
          <w:sz w:val="20"/>
        </w:rPr>
        <w:t>Disclosure Schedule</w:t>
      </w:r>
      <w:r>
        <w:rPr>
          <w:rFonts w:ascii="Times New Roman;Times;Serif" w:hAnsi="Times New Roman;Times;Serif"/>
          <w:b w:val="false"/>
          <w:i w:val="false"/>
          <w:caps w:val="false"/>
          <w:smallCaps w:val="false"/>
          <w:sz w:val="20"/>
        </w:rPr>
        <w:t>”) and/or SEC Reports, the following representations are true and complete as of the date of the date hereof. The Disclosure Schedule shall be arranged in sections corresponding to the numbered and lettered sections contained in this Section 3.01, and the disclosures in any section of the Disclosure Schedule shall qualify other sections in this Section 3.01 only to the extent it is readily apparent from a reading of the disclosure that such disclosure is applicable to such other sections.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Except as disclosed on Schedule 3.01(a), the Company does not have any Subsidiaries other than as set forth in the SEC Reports.</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is an entity with the requisite power and authority to own and use its properties and assets and to carry on its business as currently conducted. The Company is not in violation or default of any of the provisions of its certificate of formation and operating agreement, each, as amended and in effect. A complete and correct copy of the Company’s certificate of formation and bylaws, each as amended and in effect on the date of this Agreement and as they will be in effect on the Closing Date, is attached to the officer’s certificate referenced in section 2.02(b)(v). There are no other organizational or charter documents of the Company. Each Subsidiary is an entity duly incorporated or otherwise organized, validly existing and in good standing under the laws of its jurisdiction of incorporation or organization, has the requisite power and authority to own and use its properties and assets and to carry on its business as currently conducted. The Company and each Subsidiary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its Subsidiaries, taken as a whole, or any of its material assets or lines of business, individually; or (iii) a material adverse effect on the Company’s ability to perform in any material respect on a timely basis its obligations under any Transaction Document (any of (i), (ii) or (iii),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legal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therewith other than in connection with the Required Approvals. Each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the Transaction Documents to which it is a party, the issuance and sale of the Securities hereunder and the consummation by the Company of the other transactions contemplated hereby and thereby do not and will not: (i) conflict with or violate any provision of the Company’s certificate of formation bylaws or other organizational or charter documents;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any Subsidiary is subject (including federal and State Securities Laws and regulations), or by which any property or asset of the Company or any Subsidiary is bound or affected; except in the case of each of clause (ii), such as could not have or reasonably be expected to result in a Material Adverse Effect.</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xml:space="preserve">. The Company is not required to obtain any consent, waiver, authorization or order of, give any notice to, or make any filing or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xml:space="preserve"> with, any court or other federal, state, local or other governmental authority or other Person in connection with the execution, delivery and performance by the Company of the Transaction Documents, other than: (i) such consents, waivers, or authorizations as have been obtained before the Closing; (ii) the filing of Form D with the Commission and such filings as are required to be made under applicable State Securities Laws, if applicable and (iii) the filing of a Listing of Additional Shares Notification Form with Nasdaq (collectively, the “</w:t>
      </w:r>
      <w:r>
        <w:rPr>
          <w:rFonts w:ascii="Times New Roman;Times;Serif" w:hAnsi="Times New Roman;Times;Serif"/>
          <w:b/>
          <w:i w:val="false"/>
          <w:caps w:val="false"/>
          <w:smallCaps w:val="false"/>
          <w:sz w:val="20"/>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the Securities</w:t>
      </w:r>
      <w:r>
        <w:rPr>
          <w:rFonts w:ascii="Times New Roman;Times;Serif" w:hAnsi="Times New Roman;Times;Serif"/>
          <w:b w:val="false"/>
          <w:i w:val="false"/>
          <w:caps w:val="false"/>
          <w:smallCaps w:val="false"/>
          <w:sz w:val="20"/>
        </w:rPr>
        <w:t>. The Securities are duly authorized and, when issued and/or paid for in accordance with the applicable Transaction Documents, will be duly and validly issued, fully paid and nonassessable, free and clear of all Liens other than restrictions on transfer provided for in the Transaction Documents. The Company has reserved from its duly authorized capital stock a number of Common Shares at least equal to the Conversion Shares and the Warrant Shares.</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is as set forth in the most recent SEC Report. The Company has not issued any Common Shares or Common Shares Equivalents since its most recently filed periodic report under the Exchange Act, other than Exempt Issuances, the issuance of Common Shares or Common Shares Equivalents pursuant to agreements outstanding as of the date of the most recently filed periodic report under the Exchange Act and pursuant to the conversion and/or exercise of Common Shares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Shares or the capital stock of any Subsidiary, or contracts, commitments, understandings or arrangements by which the Company or any Subsidiary is or may become bound to issue additional Common Shares or Common Shares Equivalents or capital stock of any Subsidiary. The issuance and sale of the Securities will not obligate the Company or any Subsidiary to issue Common Shares or other securities to any Person (other than the Investors)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Securities. There are no members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55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Except as disclosed on Schedule 3.01(h),the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year-end audit adjustments.</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specifically disclosed in a subsequent SEC Report filed prior to the date hereof: (a) there has been no event, occurrence or development that has had or that could reasonably be expected to result in a Material Adverse Effect, (b)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(c) the Company has not altered its method of accounting, (d) the Company has not declared or made any dividend or distribution of cash or other property to its stockholders or purchased, redeemed or made any agreements to purchase or redeem any shares of its capital stock, and (e) the Company has not issued any equity securities to any officer, manager, director or Affiliate, except pursuant to existing Company equity incentive plans. The Company does not have pending before the SEC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suit, inquiry, notice of violation, proceeding or investigation pending or, to the knowledge of the Company, threatened against or affecting the Company or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which: (A) adversely affects or challenges the legality, validity or enforceability of any of the Transaction Documents or the Securities; or (ii) could, if there were an unfavorable decision, have or reasonably be expected to result in a Material Adverse Effect. None of the Company, any Subsidiary or any manager, director or officer thereof, is or has been the subject of any Action involving a claim of violation of or liability under any of the following: (x) the Securities Act, the Exchange Act or any State Securities Laws; (y) breach of fiduciary duty; or (z) fraud (statutory or common law), embezzlement, misappropriation or conversion of property or rights, or any other crime involving deceit.</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or any Subsidiary which could reasonably be expected to result in a Material Adverse Effect. None of the Company’s or any Subsidiary’s employees is a member of a union that relates to such employee’s relationship with the Company or any Subsidiary, and the Company and its Subsidiaries are not a party to any collective bargaining agreement. The Company believes that its relationships with its employees are good. No executive officer, to the knowledge of the Company, is, or is now expected to be, in violation of any material term of any employment contract, confidentiality, disclosure or proprietary information agreement or non- competition agreement, or any other contract or agreement or any restrictive covenant in favor of any third party, and the continued employment of each such executive officer does not subject the Company or any Subsidiary to any liability with respect to any of the foregoing matters. To the best of the Company’s knowledge, it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Except as disclosed in the SEC Reports, the Company and each Subsidiary: (i) is neither in default under nor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not in violation of any order of any court, arbitrator or governmental body; and (iii) is not and has not been in material violation of any statute, law, rule or regulation of any governmental authority, including without limitation all foreign, federal, state and local laws applicable to its business and all such laws that affect the environment.</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The Company and its Subsidiaries possess all certificates, authorizations and permits issued by the appropriate federal, state, local or foreign regulatory authorities necessary to conduct its business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if applicable, and the Company and its Subsidiaries have not received any notice of proceedings relating to the revocation or modification of any Permit.</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its Subsidiaries have good and marketable title in all personal property owned by it that, in each case, is material to the business of the Company and its Subsidiaries, in each case free and clear of all Liens, except for (collectively,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xml:space="preserve">”) (i) Liens disclosed in the SEC Reports that do not materially and adversely (x) affect the value of such property or (y) interfere with the use made and proposed to be made of such property by the Company and its Subsidiaries and (ii) Liens for the payment of federal, state </w:t>
      </w:r>
      <w:r>
        <w:rPr>
          <w:rFonts w:ascii="Times New Roman;Times;Serif" w:hAnsi="Times New Roman;Times;Serif"/>
          <w:b w:val="false"/>
          <w:i w:val="false"/>
          <w:caps w:val="false"/>
          <w:smallCaps w:val="false"/>
          <w:sz w:val="20"/>
          <w:u w:val="single"/>
        </w:rPr>
        <w:t>or</w:t>
      </w:r>
      <w:r>
        <w:rPr>
          <w:rFonts w:ascii="Times New Roman;Times;Serif" w:hAnsi="Times New Roman;Times;Serif"/>
          <w:b w:val="false"/>
          <w:i w:val="false"/>
          <w:caps w:val="false"/>
          <w:smallCaps w:val="false"/>
          <w:sz w:val="20"/>
        </w:rPr>
        <w:t xml:space="preserve"> other taxes, the payment of which is neither delinquent nor subject to penalties in any material respect. Any real property and facilities held under lease by the Company or a Subsidiary is held by it under valid, subsisting and enforceable leases with which the Company or such Subsidiary (as applicable) are in compliance.</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Patents and Trademarks</w:t>
      </w:r>
      <w:r>
        <w:rPr>
          <w:rFonts w:ascii="Times New Roman;Times;Serif" w:hAnsi="Times New Roman;Times;Serif"/>
          <w:b w:val="false"/>
          <w:i w:val="false"/>
          <w:caps w:val="false"/>
          <w:smallCaps w:val="false"/>
          <w:sz w:val="20"/>
        </w:rPr>
        <w:t>. (i) The Company and its Subsidiaries has, or has rights to use, all patents, patent applications, trademarks, trademark applications, service marks, trade names, trade secrets, inventions, copyrights, licenses and other intellectual property rights and similar rights as necessary or material for use in connection with its business and which the failure to so have could reasonably be expected to have a Material Adverse Effect (collectively, the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(ii) the Company and its Subsidiaries have not received a notice (written or otherwise) that any of the Intellectual Property Rights violates or infringes upon the intellectual property rights of any other Person; (iii) all Intellectual Property Rights are enforceable by the Company or a Subsidiary, and so far as the Company is aware, there is no existing infringement by any other Person of any of the Intellectual Property Rights, except where the failure to be so enforceable or for such infringements as would not, individually or in the aggregate, reasonably be expected to have a Material Adverse Effect; and (iv) the Company and its Subsidiaries have taken reasonable security measures to protect the secrecy, confidentiality and value of all of its Intellectual Property Rights, except where failure to do so could not, individually or in the aggregate, reasonably be expected to have a Material Adverse Effect.</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Transactions with Officers, Managers and Employees</w:t>
      </w:r>
      <w:r>
        <w:rPr>
          <w:rFonts w:ascii="Times New Roman;Times;Serif" w:hAnsi="Times New Roman;Times;Serif"/>
          <w:b w:val="false"/>
          <w:i w:val="false"/>
          <w:caps w:val="false"/>
          <w:smallCaps w:val="false"/>
          <w:sz w:val="20"/>
        </w:rPr>
        <w:t>. Except as disclosed in the SEC Reports, none of the officers, managers or directors of the Company or its Subsidiaries and, to the knowledge of the Company, none of the employees of the Company or its Subsidiaries, is presently a party to any transaction with the Company (other than for services as employees, officers, managers and directors), including any contract, agreement or other arrangement providing for the furnishing of services to or by, providing for rental of real or personal property to or from, or otherwise requiring payments to or from, any such officer, manager, director or employee or, to the knowledge of the Company, any entity in which any such officer, manager, director or employee has a substantial interest or is an officer, manager, director, trustee, member or partner, in each case in excess other than for: (x) payment of salary or fees for services rendered; (y) reimbursement for expenses incurred on behalf of the Company or a Subsidiary; and (z) other employee benefits, including stock option agreements under any stock option plan of the Company.</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Other than fees, commissions and expense reimbursement payable to the Placement Agent (which include: (i) a cash commission of seven percent (7%) of the proceeds raised in the Offering; (ii) placement agent warrants of seven percent (7%) of the gross proceeds raised in the Offering; and (iii) the other matters set forth in the engagement letter between the Company and the Placement Agent dated October 3, no brokerage or finder’s fees or commissions are or will be payable by the Company or any Subsidiary to any broker, financial advisor or consultant, finder, placement agent, investment banker, bank or other Person with respect to the Offering or any of the transactions contemplated by the Transaction Documents. The Investors shall have no obligation with respect to any fees or with respect to any claims made by or on behalf of other Persons for fees of a type contemplated in this Section 3.01(q) that may be due in connection with the Offering or any of the transactions contemplated by the Transaction Documents.</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Investors’ representations and warranties set forth in section 3.02, no registration under the Securities Act is required for the offer and sale of the Securities by the Company to the Investors as contemplated hereby.</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 an ‘investment company’ subject to registration under the Investment Company Act of 1940,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on Schedule 3.01(t), no Person has any right to cause the Company or any Subsidiary to effect the registration under the Securities Act of any securities of the Company or any Subsidiary. Assuming the accuracy of the Purchaser(s) representation and warranties set forth in this Agreement and the corresponding transaction documents, no registration under the Securities Act is required for the offer and sale of the Securities by the Company to the Purchase(s) as contemplated hereby.</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bylaws or the laws of its state of incorporation that is or could become applicable to the Investors as a result of the Investors and the Company fulfilling their obligations or exercising their rights under the Transaction Documents.</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(i) the material terms and conditions of the transactions contemplated by the Transaction Documents; and (ii) information given to the Investors, if any, which the Company hereby confirms will not constitute material non-public information, the Company confirms that neither it nor any other Person acting on its behalf has provided any of the Investors or their agents or counsel with any information that it believes constitutes or might constitute material, nonpublic information. The Company understands and confirms that the Investors will rely on the foregoing representation in effecting transactions in securities of the Company. All disclosure furnished by or on behalf of the Company to the Investors regarding the Company, its business and the transactions contemplated hereby, is true and correct and does not contain any untrue statement of a material fact or omit to state any material fact necessary in order to make the statements made therein, in light of the circumstances under which they were made, not misleading. This provision shall not apply to Investors who are Directors of the Company.</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Investors’ representations and warranties set forth in section 3.02, neither the Company, nor any of its Affiliates, nor any Person acting on its or their behalf has, directly or indirectly, made any offers or sales of any security or solicited any offers to buy any security, under circumstances that would cause this Offering to be integrated with prior offerings by the Company for purposes of the Securities Act which would require the registration of any such securities under the Securities Act.</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will not, after the Closing Date, incur debts beyond its ability to pay such debts as they mature (taking into account the timing and amounts of cash to be payable on or in respect of its debt). Except as disclosed in the SEC Reports, the Company has no knowledge of any facts or circumstances which lead it to believe that it will file for reorganization or liquidation under the bankruptcy or reorganization laws of any jurisdiction within one year from the Closing Date.</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have filed all federal, state and foreign income and franchise tax returns and have paid or accrued all taxes shown as due thereon, and the Company has no knowledge of a tax deficiency which has been asserted or threatened against the Company or any Subsidiary.</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Securities by any form of general solicitation or general advertising. The Company has offered the Securities for sale only to the Investors and certain other “accredited investors” within the meaning of Rule 501 under the Securities Act.</w:t>
      </w:r>
    </w:p>
    <w:p>
      <w:pPr>
        <w:pStyle w:val="TextBody"/>
        <w:bidi w:val="0"/>
        <w:spacing w:before="0" w:after="0"/>
        <w:ind w:left="0" w:right="0" w:firstLine="1555"/>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are insured by insurers of recognized financial responsibility against such losses and risks and in such amounts as management of the Company reasonably believes to be prudent and customary in the businesses in which the Company and its Subsidiaries are engaged. Neither the Company nor any of the Subsidiaries has been refused any insurance coverage sought or applied for, and the Company has no reason to believe that it will not be able to renew all existing insurance coverage as and when such coverage expires or to obtain similar coverage from similar insurers.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Acknowledgment Regarding Investors’ Purchase of Securities</w:t>
      </w:r>
      <w:r>
        <w:rPr>
          <w:rFonts w:ascii="Times New Roman;Times;Serif" w:hAnsi="Times New Roman;Times;Serif"/>
          <w:b w:val="false"/>
          <w:i w:val="false"/>
          <w:caps w:val="false"/>
          <w:smallCaps w:val="false"/>
          <w:sz w:val="20"/>
        </w:rPr>
        <w:t>. The Company acknowledges and agrees that each of the Investors is acting solely in the capacity of an arm’s length purchaser with respect to the Transaction Documents and the transactions contemplated thereby. The Company further acknowledges that no Investor is acting as a financial adviser or fiduciary of the Company (or in any similar capacity) with respect to the Transaction Documents and the transactions contemplated thereby and any advice given by any Investor or any of their respective representatives or agents in connection with the Transaction Documents and the transactions contemplated thereby is merely incidental to the Investors’ purchase of the Securities. The Company further represents to each Investor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With respect to Securities to be offered and sold hereunder in reliance on Rule 506(b) under the Securities Act (“</w:t>
      </w:r>
      <w:r>
        <w:rPr>
          <w:rFonts w:ascii="Times New Roman;Times;Serif" w:hAnsi="Times New Roman;Times;Serif"/>
          <w:b/>
          <w:i w:val="false"/>
          <w:caps w:val="false"/>
          <w:smallCaps w:val="false"/>
          <w:sz w:val="20"/>
        </w:rPr>
        <w:t>Regulation D Securities</w:t>
      </w:r>
      <w:r>
        <w:rPr>
          <w:rFonts w:ascii="Times New Roman;Times;Serif" w:hAnsi="Times New Roman;Times;Serif"/>
          <w:b w:val="false"/>
          <w:i w:val="false"/>
          <w:caps w:val="false"/>
          <w:smallCaps w:val="false"/>
          <w:sz w:val="20"/>
        </w:rPr>
        <w:t>”), none of the Company, any of its predecessors, any affiliated issuer, any director, manager, owner of twenty percent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b/>
          <w:i w:val="false"/>
          <w:caps w:val="false"/>
          <w:smallCaps w:val="false"/>
          <w:sz w:val="20"/>
        </w:rPr>
        <w:t>Issuer Covered Person</w:t>
      </w:r>
      <w:r>
        <w:rPr>
          <w:rFonts w:ascii="Times New Roman;Times;Serif" w:hAnsi="Times New Roman;Times;Serif"/>
          <w:b w:val="false"/>
          <w:i w:val="false"/>
          <w:caps w:val="false"/>
          <w:smallCaps w:val="false"/>
          <w:sz w:val="20"/>
        </w:rPr>
        <w:t>” and, together, “</w:t>
      </w:r>
      <w:r>
        <w:rPr>
          <w:rFonts w:ascii="Times New Roman;Times;Serif" w:hAnsi="Times New Roman;Times;Serif"/>
          <w:b/>
          <w:i w:val="false"/>
          <w:caps w:val="false"/>
          <w:smallCaps w:val="false"/>
          <w:sz w:val="20"/>
        </w:rPr>
        <w:t>Issuer Covered Persons</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Investors a copy of any disclosures provided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The Company is not aware of any person (other than any Issuer Covered Person or the Placement Agent) that has been or will be paid (directly or indirectly) remuneration for solicitation of purchasers in connection with the sale of any Regulation D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Notice of Disqualification Events</w:t>
      </w:r>
      <w:r>
        <w:rPr>
          <w:rFonts w:ascii="Times New Roman;Times;Serif" w:hAnsi="Times New Roman;Times;Serif"/>
          <w:b w:val="false"/>
          <w:i w:val="false"/>
          <w:caps w:val="false"/>
          <w:smallCaps w:val="false"/>
          <w:sz w:val="20"/>
        </w:rPr>
        <w:t>. The Company will notify the Investors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and its Subsidiaries, and to the knowledge of the Company, no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manager,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an Investor’s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Affiliates is subject to the Bank Holding Company Act of 1956, as amended (“</w:t>
      </w:r>
      <w:r>
        <w:rPr>
          <w:rFonts w:ascii="Times New Roman;Times;Serif" w:hAnsi="Times New Roman;Times;Serif"/>
          <w:b/>
          <w:i w:val="false"/>
          <w:caps w:val="false"/>
          <w:smallCaps w:val="false"/>
          <w:sz w:val="20"/>
        </w:rPr>
        <w:t>BHCA</w:t>
      </w:r>
      <w:r>
        <w:rPr>
          <w:rFonts w:ascii="Times New Roman;Times;Serif" w:hAnsi="Times New Roman;Times;Serif"/>
          <w:b w:val="false"/>
          <w:i w:val="false"/>
          <w:caps w:val="false"/>
          <w:smallCaps w:val="false"/>
          <w:sz w:val="20"/>
        </w:rPr>
        <w:t>”) and to regulation by the Board of Governors of the Federal Reserve System (“</w:t>
      </w:r>
      <w:r>
        <w:rPr>
          <w:rFonts w:ascii="Times New Roman;Times;Serif" w:hAnsi="Times New Roman;Times;Serif"/>
          <w:b/>
          <w:i w:val="false"/>
          <w:caps w:val="false"/>
          <w:smallCaps w:val="false"/>
          <w:sz w:val="20"/>
        </w:rPr>
        <w:t>Federal Reserve</w:t>
      </w:r>
      <w:r>
        <w:rPr>
          <w:rFonts w:ascii="Times New Roman;Times;Serif" w:hAnsi="Times New Roman;Times;Serif"/>
          <w:b w:val="false"/>
          <w:i w:val="false"/>
          <w:caps w:val="false"/>
          <w:smallCaps w:val="false"/>
          <w:sz w:val="20"/>
        </w:rPr>
        <w:t>”). Neither the Company nor any of its Affiliates owns or controls, directly or indirectly, five percent (5%) or more of the outstanding shares of any class of voting securities or twenty- five percent (25%) or more of the total equity of a bank or any entity that is subject to the BHCA and to regulation by the Federal Reserve. Neither the Company nor any of its Affiliates exercises a controlling influence over the management or policies of a bank or any entity that is subject to the BHCA and to regulation by the Federal Reserve.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The representations and warranties of the Company contained in this Agreement, and the certificate(s) furnished or to be furnished to the Investors at the Closing, when taken as a whole, do not contain any untrue statement of a material fact or omit to state a material fact necessary in order to make the statements contained herein or therein not misleading in light of the circumstances under which they were made. The Company acknowledges and agrees that the representations contained in section 3.02 shall not modify, amend or affect such Investor’s right to rely on the Company’s representations and warranties contained in this section 3.01 or elsewhere in this Agreement or any representations and warranties contained in any other Transaction Document, or any other document or instrument executed and/or delivered in connection with this Agreement or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Representations and Warranties of the 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for itself and for no other Investor,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Authority; Organization</w:t>
      </w:r>
      <w:r>
        <w:rPr>
          <w:rFonts w:ascii="Times New Roman;Times;Serif" w:hAnsi="Times New Roman;Times;Serif"/>
          <w:b w:val="false"/>
          <w:i w:val="false"/>
          <w:caps w:val="false"/>
          <w:smallCaps w:val="false"/>
          <w:sz w:val="20"/>
        </w:rPr>
        <w:t>. Such Investor has full power and authority (and, if such Investor is an individual, the capacity) to enter into this Agreement and to perform all obligations required to be performed by it hereunder. If an entity, such Investor is an entity duly organized, validly existing under the laws of the jurisdiction of its organization with full right, corporate or partnership power and authority to enter into and to consummate the transactions contemplated by the Transaction Documents and otherwise to carry out its obligations hereunder and thereunder. The execution and delivery of the Transaction Documents and performance by such Investor of the transactions contemplated by the Transaction Documents have been duly authorized by all necessary corporate or similar action on the part of such Investor. Each Transaction Document to which it is a party has been duly executed by such Investor, and when delivered by such Investor in accordance with the terms hereof, will constitute the valid and legally binding obligation of such Investor,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Own Account</w:t>
      </w:r>
      <w:r>
        <w:rPr>
          <w:rFonts w:ascii="Times New Roman;Times;Serif" w:hAnsi="Times New Roman;Times;Serif"/>
          <w:b w:val="false"/>
          <w:i w:val="false"/>
          <w:caps w:val="false"/>
          <w:smallCaps w:val="false"/>
          <w:sz w:val="20"/>
        </w:rPr>
        <w:t>. Such Investor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(this representation and warranty not limiting such Investor’s right to sell the Securities in compliance with applicable federal and State Securities Laws) in violation of the Securities Act or any applicable State Securities Law. Such Investor is acquiring the Securities hereunder in the ordinary course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Non-Transferrable</w:t>
      </w:r>
      <w:r>
        <w:rPr>
          <w:rFonts w:ascii="Times New Roman;Times;Serif" w:hAnsi="Times New Roman;Times;Serif"/>
          <w:b w:val="false"/>
          <w:i w:val="false"/>
          <w:caps w:val="false"/>
          <w:smallCaps w:val="false"/>
          <w:sz w:val="20"/>
        </w:rPr>
        <w:t>. Such Investor agrees: (i) that the Investor will not sell, assign, pledge, give, transfer or otherwise dispose of the Securities or any interest therein, or make any offer or attempt to do any of the foregoing, except pursuant to a registration of the Securities under the Securities Act and all applicable State Securities Laws, or in a transaction which is exempt from the registration provisions of the Securities Act and all applicable State Securities Laws, (ii) that the certificates representing the Securities will bear a legend making reference to the foregoing restrictions, and (iii) that the Company and its Affiliates shall not be required to give effect to any purported transfer of such Securities except upon compliance with the foregoing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Investor Status</w:t>
      </w:r>
      <w:r>
        <w:rPr>
          <w:rFonts w:ascii="Times New Roman;Times;Serif" w:hAnsi="Times New Roman;Times;Serif"/>
          <w:b w:val="false"/>
          <w:i w:val="false"/>
          <w:caps w:val="false"/>
          <w:smallCaps w:val="false"/>
          <w:sz w:val="20"/>
        </w:rPr>
        <w:t xml:space="preserve">. Such Investor is an “accredited investor” as defined in Rule 501(a) under Regulation D of the Securities Act. The undersigned agrees to furnish any additional information requested by the Company or any of its Affiliates to assure compliance with applicable U.S. federal and state securities laws in connection with the purchase and sale of the Securities. The undersigned has completed the Confidential Investor Questionnaire contained in </w:t>
      </w:r>
      <w:r>
        <w:rPr>
          <w:rFonts w:ascii="Times New Roman;Times;Serif" w:hAnsi="Times New Roman;Times;Serif"/>
          <w:b/>
          <w:i w:val="false"/>
          <w:caps w:val="false"/>
          <w:smallCaps w:val="false"/>
          <w:sz w:val="20"/>
          <w:u w:val="single"/>
        </w:rPr>
        <w:t>Appendix A</w:t>
      </w:r>
      <w:r>
        <w:rPr>
          <w:rFonts w:ascii="Times New Roman;Times;Serif" w:hAnsi="Times New Roman;Times;Serif"/>
          <w:b w:val="false"/>
          <w:i w:val="false"/>
          <w:caps w:val="false"/>
          <w:smallCaps w:val="false"/>
          <w:sz w:val="20"/>
        </w:rPr>
        <w:t xml:space="preserve"> and the information contained therein is complete and accurate as of the date thereof and is hereby affirmed as of the Closing Date. Any information that has been furnished or that will be furnished by the undersigned to evidence its status as an accredited investor is accurate and complete, and does not contain any misrepresentation or material omission.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Experience of Such Investor</w:t>
      </w:r>
      <w:r>
        <w:rPr>
          <w:rFonts w:ascii="Times New Roman;Times;Serif" w:hAnsi="Times New Roman;Times;Serif"/>
          <w:b w:val="false"/>
          <w:i w:val="false"/>
          <w:caps w:val="false"/>
          <w:smallCaps w:val="false"/>
          <w:sz w:val="20"/>
        </w:rPr>
        <w:t>. Such Investor,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Investor is able to bear the economic risk of an investment in the Securities and, at the present time, is able to afford a complete loss of such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Trading Market</w:t>
      </w:r>
      <w:r>
        <w:rPr>
          <w:rFonts w:ascii="Times New Roman;Times;Serif" w:hAnsi="Times New Roman;Times;Serif"/>
          <w:b w:val="false"/>
          <w:i w:val="false"/>
          <w:caps w:val="false"/>
          <w:smallCaps w:val="false"/>
          <w:sz w:val="20"/>
        </w:rPr>
        <w:t>. Such Investor acknowledges that there is currently no active trading market for the Securities and that none is expected to develop.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Such Investor undersigned acknowledges that neither the Company nor any other person offered to sell the Securities to it by means of any form of general solicitation or advertising, including, but not limited to: (i) any advertisement, article, notice, or other communication published in any newspaper, magazine or similar media or broadcast over television or radio, or (ii) any seminar or meeting whose attendees were invited by any general solicitation or general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Other than to other Persons party to this Agreement and its advisors who have agreed to keep information confidential or have a fiduciary obligation to keep such information confidential, such Investor has maintained the confidentiality of all disclosures made to it in connection with the transaction (including the existence and terms of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Foreign Investor</w:t>
      </w:r>
      <w:r>
        <w:rPr>
          <w:rFonts w:ascii="Times New Roman;Times;Serif" w:hAnsi="Times New Roman;Times;Serif"/>
          <w:b w:val="false"/>
          <w:i w:val="false"/>
          <w:caps w:val="false"/>
          <w:smallCaps w:val="false"/>
          <w:sz w:val="20"/>
        </w:rPr>
        <w:t>. If such Investor is not a United States person, such Investor represents that it has satisfied itself as to the full observance of the laws of its jurisdiction in connection with any invitation to subscribe for the Securities or any use of this Agreement, including: (i) the legal requirements within its jurisdiction for the purchase of the Securities, (ii) any foreign exchange restrictions applicable to such purchase, (iii) any governmental or other consents that may need to be obtained, and (iv) the income tax and other tax consequences, if any, that may be relevant to the purchase, holding, redemption, sale or transfer of the Securities. The Investor further represents that its payment for, and its continued beneficial ownership of the Securities, will not violate any applicable securities or other laws of its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Information from Company</w:t>
      </w:r>
      <w:r>
        <w:rPr>
          <w:rFonts w:ascii="Times New Roman;Times;Serif" w:hAnsi="Times New Roman;Times;Serif"/>
          <w:b w:val="false"/>
          <w:i w:val="false"/>
          <w:caps w:val="false"/>
          <w:smallCaps w:val="false"/>
          <w:sz w:val="20"/>
        </w:rPr>
        <w:t>. Such Investor and its investment managers, if any, have been afforded the opportunity to obtain any information necessary to verify the accuracy of any representations or information presented by the Company in this Agreement and have had all inquiries to the Company answered, and have been furnished all requested materials, relating to the Company and the Offering and sale of the Securities and anything set forth in the Transaction Documents. Neither the Investor nor the Investor’s investment managers, if any, have been furnished any offering literature by the Company or any of its Affiliates, associates, or agents other than the Transaction Documents, and the agreements referenced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Speculative Nature of Investment; 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SUCH INVESTOR UNDERSTANDS THAT AN INVESTMENT IN THE SECURITIES INVOLVES A HIGH DEGREE OF RISK.</w:t>
      </w:r>
      <w:r>
        <w:rPr>
          <w:rFonts w:ascii="Times New Roman;Times;Serif" w:hAnsi="Times New Roman;Times;Serif"/>
          <w:b w:val="false"/>
          <w:i w:val="false"/>
          <w:caps w:val="false"/>
          <w:smallCaps w:val="false"/>
          <w:sz w:val="20"/>
        </w:rPr>
        <w:t xml:space="preserve"> Such Investor acknowledges that: (i) any projections, forecasts or estimates as may have been provided to the Investor are purely speculative and cannot be relied upon to indicate actual results that may be obtained through this investment; any such projections, forecasts and estimates are based upon assumptions which are subject to change and which are beyond the control of the Company or its management, (ii) the tax effects which may be expected by this investment are not susceptible to absolute prediction, and new developments and rules of the Internal Revenue Service, audit adjustment, court decisions or legislative changes may have an adverse effect on one or more of the tax consequences of this investment, and (iii) the Investor has been advised to consult with his own advisor regarding legal matters and tax consequences involving this investment. The Investor represents that the Investor’s investment objective is speculative in that the Investor seeks the maximum total return through an investment in a broad spectrum of securities, which involves a higher degree of risk than other investment styles and therefore the Investor’s risk exposure is also speculative. The Securities offered hereby are highly speculative and involve a high degree of risk and Investor should only purchase these securities if Investor can afford to lose their entire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If an entity, the operations of such Investor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with respect to the Money Laundering Laws is pending or, to the knowledge of the Company or any Subsidiary, threatened.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Independent Evaluation</w:t>
      </w:r>
      <w:r>
        <w:rPr>
          <w:rFonts w:ascii="Times New Roman;Times;Serif" w:hAnsi="Times New Roman;Times;Serif"/>
          <w:b w:val="false"/>
          <w:i w:val="false"/>
          <w:caps w:val="false"/>
          <w:smallCaps w:val="false"/>
          <w:sz w:val="20"/>
        </w:rPr>
        <w:t>. Such Investor confirms and agrees that (i) it has independently evaluated the merits of its decision to purchase the Securities referenced hereinabove, (ii) it has not relied on the advise of, or any representation by the Placement Agent or any affiliate thereof or any representative of the Placement Agent or its affiliates in making such decision, and (iii) neither the Placement Agent nor any of its representatives has any responsibility with respect to the completeness or accuracy of any information or materials furnished to such Investor in connection with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Section 3.02 shall not modify, amend or affect such Investor’s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IV</w:t>
      </w:r>
      <w:r>
        <w:rPr>
          <w:rFonts w:ascii="Times New Roman;Times;Serif" w:hAnsi="Times New Roman;Times;Serif"/>
          <w:b/>
          <w:i w:val="false"/>
          <w:caps w:val="false"/>
          <w:smallCaps w:val="false"/>
          <w:sz w:val="20"/>
        </w:rPr>
        <w:br/>
        <w:t>OTHER AGREEMENTS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Securities may only be disposed of in compliance with state and federal securities laws. In connection with any transfer of Securities other than pursuant to an effective registration statement or Rule 144,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The Securities may not be sold or transferred by the Investors without the written consent of the Company, which shall not be unreasonably withheld. As a condition of such sale or transfer, any such transferee shall agree in writing to be bound by the terms of this Agreement and shall have the rights of an Investor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Investors agree to the imprinting, so long as is required by this Section 4.01, of a legend on any of the Securities in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Investor’s request in connection with a proposed sale of Securities pursuant to Rule 144 and if the Company reasonably determines it is so required, upon receipt of customary documentation from Investor’s broker (if the Securities are sold in brokers transactions), the Company shall, at its own cost and effort, retain legal counsel to provide an opinion letter to the Company’s transfer agent opining that the Securities may be resold without registration under the Securities Act, pursuant to Rule 144, promulgated thereunder, so long as the requirements of Rule 144 are met for any Securities to be resold thereunder. The Company shall arrange for any such opinion letter to be provided not later than two (2) Business Days after the date of delivery to and receipt by the Company of a written request by any Investor together with (if required in order to render the opinion) any broker’s representation letter of other customary documentation reasonably requested by the Company evidencing compliance with Rule 144 (the “</w:t>
      </w:r>
      <w:r>
        <w:rPr>
          <w:rFonts w:ascii="Times New Roman;Times;Serif" w:hAnsi="Times New Roman;Times;Serif"/>
          <w:b/>
          <w:i w:val="false"/>
          <w:caps w:val="false"/>
          <w:smallCaps w:val="false"/>
          <w:sz w:val="20"/>
        </w:rPr>
        <w:t>Legend Removal Date</w:t>
      </w:r>
      <w:r>
        <w:rPr>
          <w:rFonts w:ascii="Times New Roman;Times;Serif" w:hAnsi="Times New Roman;Times;Serif"/>
          <w:b w:val="false"/>
          <w:i w:val="false"/>
          <w:caps w:val="false"/>
          <w:smallCaps w:val="false"/>
          <w:sz w:val="20"/>
        </w:rPr>
        <w:t>”), and such opinion letter may be a “blanket” opinion letter covering Securities held by more than one Investor (if applicable to more than one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Investor, severally and not jointly with the other Investors, agrees that such Investor will sell any Securities only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4.01 is predicated upon the Company’s reliance upon this understanding.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hereunder to: (a) cover the expenses related to the Offering; and (b) for general working capital purposes and shall not use such proceeds: (i) for the satisfaction of any portion of the Company’s debt (other than payment of trade payables in the ordinary course of the Company’s business and prior practices); (ii) for the redemption of any Common Shares or Common Shares Equivalents; (iii) for the settlement of any outstanding litigation; (iv) in violation of FCPA or OFAC regulations; or (v) to lend, give credit or make advances to any officers, managers, directors, employees or Affiliates of the Company other than as stated in Section 4.02(b).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to the Investors in a manner that would require the registration under the Securities Act of the sale of the Securities to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The Company and each Investor shall consult with each other in issuing any other press releases with respect to the transactions contemplated hereby, and neither the Company nor any Investor shall issue any such press release nor otherwise make any such public statement without the prior consent of the Company with respect to any press release of any Investor, or without the prior consent of each Investor with respect to any press release of the Company mentioning such Investor, which consent shall not unreasonably be withheld or delayed, except if such disclosure is required by law, in which case the disclosing party shall promptly provide the other party with prior notice of such public statement or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Indemnification of Investors</w:t>
      </w:r>
      <w:r>
        <w:rPr>
          <w:rFonts w:ascii="Times New Roman;Times;Serif" w:hAnsi="Times New Roman;Times;Serif"/>
          <w:b w:val="false"/>
          <w:i w:val="false"/>
          <w:caps w:val="false"/>
          <w:smallCaps w:val="false"/>
          <w:sz w:val="20"/>
        </w:rPr>
        <w:t>. The Company shall indemnify, reimburse and hold harmless the Investors and their respective partners, members, stockholders, officers, directors, managers, employees and agents (and any other persons with other titles that have similar functions) (collectively, “</w:t>
      </w:r>
      <w:r>
        <w:rPr>
          <w:rFonts w:ascii="Times New Roman;Times;Serif" w:hAnsi="Times New Roman;Times;Serif"/>
          <w:b/>
          <w:i w:val="false"/>
          <w:caps w:val="false"/>
          <w:smallCaps w:val="false"/>
          <w:sz w:val="20"/>
        </w:rPr>
        <w:t>Indemnitees</w:t>
      </w:r>
      <w:r>
        <w:rPr>
          <w:rFonts w:ascii="Times New Roman;Times;Serif" w:hAnsi="Times New Roman;Times;Serif"/>
          <w:b w:val="false"/>
          <w:i w:val="false"/>
          <w:caps w:val="false"/>
          <w:smallCaps w:val="false"/>
          <w:sz w:val="20"/>
        </w:rPr>
        <w:t>”) from and against any and all losses, claims, liabilities, damages, penalties, suits, costs and expenses, of any kind or nature, (including fees relating to the cost of investigating and defending any of the foregoing) imposed on, incurred by or asserted against such Indemnitee in any way related to or arising from or alleged to arise from: (i) any breach of any of the representations, warranties, covenants or agreements made by the Company in this Agreement or in the other Transaction Documents and (ii) any action instituted against such Indemnitee in any capacity, or any of them or their respective Affiliates, by any stockholder of the Company who is not an Affiliate of such Indemnitee, with respect to any of the transactions contemplated by the Transaction Documents (unless such action is based upon a breach of such Indemnitee’s representations, warranties or covenants under the Transaction Documents or any agreements or understandings such Indemnitee may have with any such stockholder or any violations by such Indemnitee of state or federal securities laws or any conduct by such Indemnitee which results from the gross negligence or willful misconduct of the Indemnitee as determined by a final, non-appealable decision of a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maintain a reserve from its duly authorized shares of Common Shares for issuance pursuant to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on any date, the number of authorized but unissued (and otherwise unreserved) Common Shares is less than the minimum amount of shares to be issued pursuant to this Agreement, on such date, then the Board of Directors shall use commercially reasonable efforts to amend the Company’s certificate or articles of incorporation to increase the number of authorized but unissued Common Shares to at least the necessary amount in accordance with the applicable subscription amount, at such time, as soon as possible and in any event not later than the 60th day after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The Company shall issue to the Holder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purchase shares of the Company’s common stock with (i) an exercise price of $0.50 per share, (ii) a term of five (5) years from the date of issuance, and (iii) coverage equal to one and one third of the principal amount of the Holder’s investment (calculated as the number of Warrant Shares equal to the principal amount multiplied by 4/3. By way of illustration an investment of $750,000 would receive 1,000,000 Warrant Shares). The Warrants shall be exercisable on a cashless basis at the Holder’s discretion. (iv) exercisability subject to Stockholder Approval as provided below. The Warrants shall be exercisable on a cashless basis at the Holder’s discretion. Notwithstanding anything to the contrary herein or in the Warrants, the Warrants shall not be exercisable, and the Company shall not be obligated to issue any Warrant Shares, unless and until the stockholders of the Company have approved the issuance of the Warrant Shares upon exercise of the Warrants in accordance with Nasdaq Listing Rule 5635 (“Stockholder Approval”). The Company shall use its commercially reasonable efforts to obtain Stockholder Approval at the next annual or special meeting of stockholders of the Company held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xml:space="preserve"> All shares of capital stock issued or issuable hereunder, including without limitation upon exercise of the Warrants, or conversion of any Conversion Shares (collectively, the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shall, at the Holder’s sole discretion, be deemed Registrable Securities. The Company agrees to include such Registrable Securities for resale subject to and in accordance with the Registration Rights Agreement, in any registration statement on Form S-1 (or Form S-3) filed by the Company to register the resale of securities issued in any subsequent financing (other than a prospectus supplement to the Company’s existing shelf registration statement on Form S-3, including in connection with the registered direct offering of Common Shares contemplated to be consummated on or about the Closing Date) or, in the event the Company consummates a merger, reverse merger, business combination, recapitalization, reorganization, direct listing, or similar transaction, in any registration statement (including, without limitation, on Form S-1, Form S-4, Form F-4, Form S-3, or any successor or comparable form) filed by the Company in connection with or following such transaction to register securities for resale or issuance, and to use its commercially reasonable efforts to cause such registration statement to be declared effective by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V</w:t>
        <w:br/>
      </w: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Investor, as to such Investor’s obligations hereunder only and without any effect whatsoever on the obligations between the Company and the other Investors, by written notice to the other parties, if the Closing has not been consummated on or before the Termination Date; provided, however, that such termination will not affect the right of any party to sue for any breach by the other party (or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Each party shall pay the fees and expenses of its advisers, counsel, accountants and other experts, if any, and all other expenses incurred by such party incident to the negotiation, preparation, execution, delivery and performance of this Agreement: (i) except as otherwise provided in Section 3.01(q), and (ii)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initial Closing the Company shall pay directly to the Placement Agent’s counsel $25,000 on account of the Placement Agent’s legal expenses in connection with such negotiation, preparation, execution, delivery and performance of the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instruction or other document to be given hereunder by any party to the others shall be in writing and delivered personally or sent by registered or certified mail, postage prepaid, or by or email: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an Investor or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set forth on such Investor’s signature page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Sichenzia Ross Ference Carmel LLP</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Floor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Jesse L. Blue, Esq.</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jblue@srfc.law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 Logan St., Suite 660, Unit 51767</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 80203</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legal@authid.ai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Fleming PLLC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Wall,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10005</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Fleming, Esq.</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smf@flemingpllc.com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Persons or addresses as may be designated in writing by the party to receive such notice as provided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by the Company and each Investor whose rights or obligations are affected by such waiver, modification, supplement, or amendment; provided, however, that no such amendment, modification, supplement, waiver, or other action shall require or result in the mandatory conversion of any individual Investor’s Debentures without the prior written consent of such Investor, and each Investor shall retain the sole and independent right to determine whether or not to convert its own Debentures. In the case of a waiver, such waiver shall be effective only with respect to the Investor against whom enforcement of the applicable provision is sought and only if such Investor has provided its prior written consent. No waiver of any default with respect to any provision, condition or requirement of this Agreement shall be deemed to be a continuing waiver of any future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Investor (other than by merger). Any Investor may assign any or all of its rights under this Agreement to any Person to whom such Investor assigns or transfers any Securities, provided that such transfer complies with all applicable federal and State Securities Laws and that such transferee agrees in writing with the Company to be bound, with respect to the transferred Securities, by the provisions of the Transaction Documents that apply to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sole the benefit of the parties hereto and their respective successors and permitted assigns and is not for the benefit of, nor may any provision hereof be enforced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managers, directors, officers, stockholders, employees or agents) shall be commenced exclusively in the federal and state courts sitting in the County of New York, New York (the “</w:t>
      </w:r>
      <w:r>
        <w:rPr>
          <w:rFonts w:ascii="Times New Roman;Times;Serif" w:hAnsi="Times New Roman;Times;Serif"/>
          <w:b/>
          <w:i w:val="false"/>
          <w:caps w:val="false"/>
          <w:smallCaps w:val="false"/>
          <w:sz w:val="20"/>
        </w:rPr>
        <w:t>New York Courts</w:t>
      </w:r>
      <w:r>
        <w:rPr>
          <w:rFonts w:ascii="Times New Roman;Times;Serif" w:hAnsi="Times New Roman;Times;Serif"/>
          <w:b w:val="false"/>
          <w:i w:val="false"/>
          <w:caps w:val="false"/>
          <w:smallCaps w:val="false"/>
          <w:sz w:val="20"/>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the Transaction Documents or the transactions contemplated hereby. If any party shall commence an action or proceeding to enforce any provisions of the Transaction Documents, then the prevailing party in such action or proceeding shall be reimbursed by the other party for its reasonable attorney’s fees and other costs and expenses incurred in the investigation, preparation and prosecution of such action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Investor exercises a right, election, demand or option under a Transaction Document and the Company does not timely perform its related obligations within the periods therein provided, then such Investor may rescind or withdraw, in its sole discretion from time to time upon written notice to the Company, any relevant notice, demand or election in whole or in part without prejudice to its future actions and rights; provided, however, that in the case of a rescission of a conversion of a Debenture, the Investor shall be required to return any Common Shares subject to any such rescinded conversion or exercise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Investors and the Company will be entitled to seek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Investor pursuant to any Transaction Document or an Investor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Independent Nature of Investors’ Obligations and Rights</w:t>
      </w:r>
      <w:r>
        <w:rPr>
          <w:rFonts w:ascii="Times New Roman;Times;Serif" w:hAnsi="Times New Roman;Times;Serif"/>
          <w:b w:val="false"/>
          <w:i w:val="false"/>
          <w:caps w:val="false"/>
          <w:smallCaps w:val="false"/>
          <w:sz w:val="20"/>
        </w:rPr>
        <w:t>. The obligations of each Investor under any Transaction Document are several and not joint with the obligations of any other Investor, and no Investor shall be responsible in any way for the performance or non-performance of the obligations of any other Investor under any Transaction Document. Nothing contained herein or in any other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the Transaction Documents. Each Investor shall be entitled to independently protect and enforce its rights, including, without limitation, the rights arising out of this Agreement or out of the other Transaction Documents, and it shall not be necessary for any other Investor to be joined as an additional party in any proceeding for such purpose. Each Investor has been represented by its own separate legal counsel in their review and negotiation of the Transaction Documents. The Company has elected to provide all Investors with the same terms and Transaction Documents for the convenience of the Company and not because it was required or requested to do so by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 In addition, each and every reference to share prices and Common Shares in any Transaction Document shall be subject to adjustment for reverse and forward stock splits, stock dividends, stock combinations and other similar transactions of the Common Shares that occur after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Securities Purchase Agreement to be duly executed by their respective authorized signatories as of the date below.</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2545" w:type="dxa"/>
            <w:gridSpan w:val="2"/>
            <w:tcBorders/>
            <w:vAlign w:val="center"/>
          </w:tcPr>
          <w:p>
            <w:pPr>
              <w:pStyle w:val="TableContents"/>
              <w:bidi w:val="0"/>
              <w:spacing w:before="0" w:after="283"/>
              <w:jc w:val="both"/>
              <w:rPr>
                <w:b/>
                <w:sz w:val="20"/>
              </w:rPr>
            </w:pPr>
            <w:r>
              <w:rPr>
                <w:b/>
                <w:sz w:val="20"/>
              </w:rPr>
              <w:t xml:space="preserve">AUTHID Inc.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pPr>
            <w:r>
              <w:rPr/>
              <w:t> </w:t>
            </w:r>
          </w:p>
        </w:tc>
        <w:tc>
          <w:tcPr>
            <w:tcW w:w="194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b/>
                <w:sz w:val="20"/>
              </w:rPr>
            </w:pPr>
            <w:r>
              <w:rPr>
                <w:b/>
                <w:sz w:val="20"/>
              </w:rPr>
              <w:t>By:</w:t>
            </w:r>
          </w:p>
        </w:tc>
        <w:tc>
          <w:tcPr>
            <w:tcW w:w="1940"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sz w:val="20"/>
              </w:rPr>
            </w:pPr>
            <w:r>
              <w:rPr>
                <w:sz w:val="20"/>
              </w:rPr>
              <w:t xml:space="preserve">Name: </w:t>
            </w:r>
          </w:p>
        </w:tc>
        <w:tc>
          <w:tcPr>
            <w:tcW w:w="1940" w:type="dxa"/>
            <w:tcBorders/>
            <w:vAlign w:val="center"/>
          </w:tcPr>
          <w:p>
            <w:pPr>
              <w:pStyle w:val="TableContents"/>
              <w:bidi w:val="0"/>
              <w:spacing w:before="0" w:after="283"/>
              <w:jc w:val="both"/>
              <w:rPr>
                <w:sz w:val="20"/>
              </w:rPr>
            </w:pPr>
            <w:r>
              <w:rPr>
                <w:sz w:val="20"/>
              </w:rPr>
              <w:t>Thomas Szoke</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sz w:val="20"/>
              </w:rPr>
            </w:pPr>
            <w:r>
              <w:rPr>
                <w:sz w:val="20"/>
              </w:rPr>
              <w:t xml:space="preserve">Title: </w:t>
            </w:r>
          </w:p>
        </w:tc>
        <w:tc>
          <w:tcPr>
            <w:tcW w:w="1940" w:type="dxa"/>
            <w:tcBorders/>
            <w:vAlign w:val="center"/>
          </w:tcPr>
          <w:p>
            <w:pPr>
              <w:pStyle w:val="TableContents"/>
              <w:bidi w:val="0"/>
              <w:spacing w:before="0" w:after="283"/>
              <w:jc w:val="both"/>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Investors executing the Signature Page in the form attached hereto as </w:t>
      </w:r>
      <w:r>
        <w:rPr>
          <w:rFonts w:ascii="Times New Roman;Times;Serif" w:hAnsi="Times New Roman;Times;Serif"/>
          <w:b/>
          <w:i w:val="false"/>
          <w:caps w:val="false"/>
          <w:smallCaps w:val="false"/>
          <w:sz w:val="20"/>
          <w:u w:val="single"/>
        </w:rPr>
        <w:t>Annex A</w:t>
      </w:r>
      <w:r>
        <w:rPr>
          <w:rFonts w:ascii="Times New Roman;Times;Serif" w:hAnsi="Times New Roman;Times;Serif"/>
          <w:b w:val="false"/>
          <w:i w:val="false"/>
          <w:caps w:val="false"/>
          <w:smallCaps w:val="false"/>
          <w:sz w:val="20"/>
        </w:rPr>
        <w:t xml:space="preserve"> and delivering the same to the Company or its agents shall be deemed to have executed this Agreement and agreed to the terms hereof.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 Investor Counterpart Signature Page</w:t>
      </w:r>
    </w:p>
    <w:p>
      <w:pPr>
        <w:pStyle w:val="TextBody"/>
        <w:bidi w:val="0"/>
        <w:spacing w:before="0" w:after="0"/>
        <w:ind w:left="0" w:right="0" w:firstLine="309"/>
        <w:jc w:val="both"/>
        <w:rPr>
          <w:caps w:val="false"/>
          <w:smallCaps w:val="false"/>
        </w:rPr>
      </w:pPr>
      <w:r>
        <w:rPr>
          <w:caps w:val="false"/>
          <w:smallCaps w:val="false"/>
        </w:rPr>
        <w:t> </w:t>
      </w:r>
    </w:p>
    <w:p>
      <w:pPr>
        <w:pStyle w:val="TextBody"/>
        <w:bidi w:val="0"/>
        <w:spacing w:before="0" w:after="0"/>
        <w:ind w:left="0" w:right="0" w:firstLine="7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desiring to: (i) enter into this Securities Purchase Agreement dated as of October [__], 2026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with the undersigned, authID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or substantially in the form furnished to the undersigned and (ii) purchase the Securities as set forth below, hereby agrees to purchase such Securities from the Company as of the Closing and further agrees to join the Agreement as a party thereto, with all the rights and privileges appertaining thereto, and to be bound in all respects by the terms and conditions thereof. The undersigned specifically acknowledges having read the representations in this Agreement’s section entitled “Representations Warranties of the Investors”, and hereby represents that the statements contained therein are complete and accurate with respect to the undersigned as an Investor.</w:t>
      </w:r>
    </w:p>
    <w:p>
      <w:pPr>
        <w:pStyle w:val="TextBody"/>
        <w:bidi w:val="0"/>
        <w:spacing w:before="0" w:after="0"/>
        <w:ind w:left="0" w:right="0" w:hanging="0"/>
        <w:jc w:val="center"/>
        <w:rPr>
          <w:caps w:val="false"/>
          <w:smallCaps w:val="false"/>
        </w:rPr>
      </w:pPr>
      <w:r>
        <w:rPr>
          <w:caps w:val="false"/>
          <w:smallCaps w:val="false"/>
        </w:rPr>
        <w:t> </w:t>
      </w:r>
    </w:p>
    <w:tbl>
      <w:tblPr>
        <w:tblW w:w="5813" w:type="dxa"/>
        <w:jc w:val="left"/>
        <w:tblInd w:w="0" w:type="dxa"/>
        <w:tblLayout w:type="fixed"/>
        <w:tblCellMar>
          <w:top w:w="0" w:type="dxa"/>
          <w:left w:w="0" w:type="dxa"/>
          <w:bottom w:w="0" w:type="dxa"/>
          <w:right w:w="0" w:type="dxa"/>
        </w:tblCellMar>
      </w:tblPr>
      <w:tblGrid>
        <w:gridCol w:w="2896"/>
        <w:gridCol w:w="288"/>
        <w:gridCol w:w="60"/>
        <w:gridCol w:w="2279"/>
        <w:gridCol w:w="290"/>
      </w:tblGrid>
      <w:tr>
        <w:trPr/>
        <w:tc>
          <w:tcPr>
            <w:tcW w:w="3184" w:type="dxa"/>
            <w:gridSpan w:val="2"/>
            <w:tcBorders/>
            <w:vAlign w:val="center"/>
          </w:tcPr>
          <w:p>
            <w:pPr>
              <w:pStyle w:val="TableContents"/>
              <w:bidi w:val="0"/>
              <w:spacing w:before="0" w:after="283"/>
              <w:jc w:val="left"/>
              <w:rPr/>
            </w:pPr>
            <w:r>
              <w:rPr>
                <w:b/>
              </w:rPr>
              <w:t>INVESTOR</w:t>
            </w:r>
            <w:r>
              <w:rPr/>
              <w:t xml:space="preserve"> (</w:t>
            </w:r>
            <w:r>
              <w:rPr>
                <w:i/>
              </w:rPr>
              <w:t>if an individual</w:t>
            </w:r>
            <w:r>
              <w:rPr/>
              <w:t>):</w:t>
            </w:r>
          </w:p>
        </w:tc>
        <w:tc>
          <w:tcPr>
            <w:tcW w:w="60"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b/>
              </w:rPr>
              <w:t>INVESTOR</w:t>
            </w:r>
            <w:r>
              <w:rPr/>
              <w:t xml:space="preserve"> (</w:t>
            </w:r>
            <w:r>
              <w:rPr>
                <w:i/>
              </w:rPr>
              <w:t>if an entity</w:t>
            </w:r>
            <w:r>
              <w:rPr/>
              <w:t>):</w:t>
            </w:r>
          </w:p>
        </w:tc>
      </w:tr>
      <w:tr>
        <w:trPr/>
        <w:tc>
          <w:tcPr>
            <w:tcW w:w="289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By</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(Legal Name of Entity)</w:t>
            </w:r>
          </w:p>
        </w:tc>
      </w:tr>
      <w:tr>
        <w:trPr/>
        <w:tc>
          <w:tcPr>
            <w:tcW w:w="2896" w:type="dxa"/>
            <w:tcBorders/>
            <w:vAlign w:val="center"/>
          </w:tcPr>
          <w:p>
            <w:pPr>
              <w:pStyle w:val="TableContents"/>
              <w:bidi w:val="0"/>
              <w:spacing w:before="0" w:after="283"/>
              <w:jc w:val="left"/>
              <w:rPr/>
            </w:pPr>
            <w:r>
              <w:rPr/>
              <w:t xml:space="preserve">Name: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Date:</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By</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 xml:space="preserve">Name: </w:t>
            </w:r>
          </w:p>
        </w:tc>
        <w:tc>
          <w:tcPr>
            <w:tcW w:w="290"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Title:</w:t>
            </w:r>
          </w:p>
        </w:tc>
        <w:tc>
          <w:tcPr>
            <w:tcW w:w="290"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pPr>
            <w:r>
              <w:rPr>
                <w:b/>
              </w:rPr>
              <w:t>INVESTOR</w:t>
            </w:r>
            <w:r>
              <w:rPr/>
              <w:t xml:space="preserve"> (</w:t>
            </w:r>
            <w:r>
              <w:rPr>
                <w:i/>
              </w:rPr>
              <w:t>if investing jointly</w:t>
            </w:r>
            <w:r>
              <w:rPr/>
              <w:t>)</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Date:</w:t>
            </w:r>
          </w:p>
        </w:tc>
        <w:tc>
          <w:tcPr>
            <w:tcW w:w="290"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By</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 xml:space="preserve">Name: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896" w:type="dxa"/>
            <w:tcBorders/>
            <w:vAlign w:val="center"/>
          </w:tcPr>
          <w:p>
            <w:pPr>
              <w:pStyle w:val="TableContents"/>
              <w:bidi w:val="0"/>
              <w:spacing w:before="0" w:after="283"/>
              <w:jc w:val="left"/>
              <w:rPr/>
            </w:pPr>
            <w:r>
              <w:rPr/>
              <w:t>Date:</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State/Country of Domicile or Formation: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Subscription Amount: $ 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SSN/EIN/ITIN: 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CONFIDENTIAL INVESTOR QUESTIONNAIRE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FORM OF WARRANT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30800701ex10-2.htm"/>
      <w:bookmarkStart w:id="27" w:name="ksea030800701ex102"/>
      <w:bookmarkEnd w:id="26"/>
      <w:bookmarkEnd w:id="27"/>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Debenture 2026-«Debenture_No_»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DEBENTURE HAS NOT BEEN REGISTERED WITH THE SECURITIES AND EXCHANGE COMMISSION OR THE SECURITIES COMMISSION OF ANY STATE. THESE SECURITIES HAVE BEEN SOLD IN RELIANCE UPON AN EXEMPTION FROM REGISTRATION UNDER THE SECURITIES ACT OF 1933, AS AMENDED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i w:val="false"/>
          <w:caps w:val="false"/>
          <w:smallCaps w:val="false"/>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AUTHID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SECURED DEBENTURE</w:t>
      </w:r>
    </w:p>
    <w:p>
      <w:pPr>
        <w:pStyle w:val="TextBody"/>
        <w:bidi w:val="0"/>
        <w:spacing w:before="0" w:after="0"/>
        <w:ind w:left="0" w:right="0" w:hanging="0"/>
        <w:jc w:val="center"/>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3530"/>
        <w:gridCol w:w="60"/>
        <w:gridCol w:w="3875"/>
      </w:tblGrid>
      <w:tr>
        <w:trPr/>
        <w:tc>
          <w:tcPr>
            <w:tcW w:w="3530" w:type="dxa"/>
            <w:tcBorders/>
            <w:vAlign w:val="center"/>
          </w:tcPr>
          <w:p>
            <w:pPr>
              <w:pStyle w:val="TableContents"/>
              <w:bidi w:val="0"/>
              <w:spacing w:before="0" w:after="283"/>
              <w:jc w:val="left"/>
              <w:rPr/>
            </w:pPr>
            <w:r>
              <w:rPr/>
              <w:t>Original Issue Date: October 6, 2026</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right"/>
              <w:rPr/>
            </w:pPr>
            <w:r>
              <w:rPr/>
              <w:t>Principal Amount $«Principal_Amount»</w:t>
            </w:r>
          </w:p>
        </w:tc>
      </w:tr>
      <w:tr>
        <w:trPr/>
        <w:tc>
          <w:tcPr>
            <w:tcW w:w="3530" w:type="dxa"/>
            <w:tcBorders/>
            <w:vAlign w:val="center"/>
          </w:tcPr>
          <w:p>
            <w:pPr>
              <w:pStyle w:val="TableContents"/>
              <w:bidi w:val="0"/>
              <w:spacing w:before="0" w:after="283"/>
              <w:jc w:val="left"/>
              <w:rPr/>
            </w:pPr>
            <w:r>
              <w:rPr/>
              <w:t>Maturity Date: February 28, 2027</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authID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hereby promises to pay to the order of «Registration_Name» or its registered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the amount set out above as the Principal Amount when due, whether upon the Maturity Date (as defined below), acceleration, or otherwise (in each case in accordance with the terms hereof) until the same becomes due and payable, upon acceleration, conversion/exchange (as referenced below) or otherwise (in each case in accordance with the terms hereof). This Senior Secured Debenture (this “</w:t>
      </w:r>
      <w:r>
        <w:rPr>
          <w:rFonts w:ascii="Times New Roman;Times;Serif" w:hAnsi="Times New Roman;Times;Serif"/>
          <w:b w:val="false"/>
          <w:i w:val="false"/>
          <w:caps w:val="false"/>
          <w:smallCaps w:val="false"/>
          <w:sz w:val="20"/>
          <w:u w:val="single"/>
        </w:rPr>
        <w:t>Debenture</w:t>
      </w:r>
      <w:r>
        <w:rPr>
          <w:rFonts w:ascii="Times New Roman;Times;Serif" w:hAnsi="Times New Roman;Times;Serif"/>
          <w:b w:val="false"/>
          <w:i w:val="false"/>
          <w:caps w:val="false"/>
          <w:smallCaps w:val="false"/>
          <w:sz w:val="20"/>
        </w:rPr>
        <w:t>”) was issued pursuant to the Securities Purchase Agreement dated October 5, 2026 (the “</w:t>
      </w:r>
      <w:r>
        <w:rPr>
          <w:rFonts w:ascii="Times New Roman;Times;Serif" w:hAnsi="Times New Roman;Times;Serif"/>
          <w:b w:val="false"/>
          <w:i w:val="false"/>
          <w:caps w:val="false"/>
          <w:smallCaps w:val="false"/>
          <w:sz w:val="20"/>
          <w:u w:val="single"/>
        </w:rPr>
        <w:t>Securities Purchase Agreement</w:t>
      </w:r>
      <w:r>
        <w:rPr>
          <w:rFonts w:ascii="Times New Roman;Times;Serif" w:hAnsi="Times New Roman;Times;Serif"/>
          <w:b w:val="false"/>
          <w:i w:val="false"/>
          <w:caps w:val="false"/>
          <w:smallCaps w:val="false"/>
          <w:sz w:val="20"/>
        </w:rPr>
        <w:t>”) between the Company and the Holder. Certain capitalized terms used herein are defined in Section 16.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shall be the earlier of (i) February 28, 2027 and (ii) the closing of a Change of Control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Interest Rate and Payment of Interest</w:t>
      </w:r>
      <w:r>
        <w:rPr>
          <w:rFonts w:ascii="Times New Roman;Times;Serif" w:hAnsi="Times New Roman;Times;Serif"/>
          <w:b w:val="false"/>
          <w:i w:val="false"/>
          <w:caps w:val="false"/>
          <w:smallCaps w:val="false"/>
          <w:sz w:val="20"/>
        </w:rPr>
        <w:t>. This Debenture shall not bear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Set forth in Section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Secured Obligations</w:t>
      </w:r>
      <w:r>
        <w:rPr>
          <w:rFonts w:ascii="Times New Roman;Times;Serif" w:hAnsi="Times New Roman;Times;Serif"/>
          <w:b w:val="false"/>
          <w:i w:val="false"/>
          <w:caps w:val="false"/>
          <w:smallCaps w:val="false"/>
          <w:sz w:val="20"/>
        </w:rPr>
        <w:t>. The obligations of the Company under this Debenture are secured by a first-priority lien on all of the Company’s assets and property, whether now owned or hereafter acquired, including, without limitation, all cash, cash equivalents, accounts, inventory, equipment, general intangibles, intellectual property, and proceeds thereof, subject only to Permitted Liens (as defined in the Security Agreement). This Debenture and the obligations of the Company hereunder rank pari passu in seniority and right of repayment, and with respect to the priority of the liens securing such obligations, with the senior secured debentures issued by the Company pursuant to the securities purchase agreement dated April 29, 2026 as amended, supplemented or otherwise modified from time to time, and including any senior secured debentures issued, and any increase in principal amount effected, pursuant to the Backstop Commitment Agreement dated as of September 9, 2026, collectively (the “</w:t>
      </w:r>
      <w:r>
        <w:rPr>
          <w:rFonts w:ascii="Times New Roman;Times;Serif" w:hAnsi="Times New Roman;Times;Serif"/>
          <w:b w:val="false"/>
          <w:i w:val="false"/>
          <w:caps w:val="false"/>
          <w:smallCaps w:val="false"/>
          <w:sz w:val="20"/>
          <w:u w:val="single"/>
        </w:rPr>
        <w:t>April 2026 Debentures</w:t>
      </w:r>
      <w:r>
        <w:rPr>
          <w:rFonts w:ascii="Times New Roman;Times;Serif" w:hAnsi="Times New Roman;Times;Serif"/>
          <w:b w:val="false"/>
          <w:i w:val="false"/>
          <w:caps w:val="false"/>
          <w:smallCaps w:val="false"/>
          <w:sz w:val="20"/>
        </w:rPr>
        <w:t>”) and the other senior secured debentures issued by the Company pursuant to the Securities Purchase Agreement to the other Investors named therein (together with this Debenture (the “</w:t>
      </w:r>
      <w:r>
        <w:rPr>
          <w:rFonts w:ascii="Times New Roman;Times;Serif" w:hAnsi="Times New Roman;Times;Serif"/>
          <w:b w:val="false"/>
          <w:i w:val="false"/>
          <w:caps w:val="false"/>
          <w:smallCaps w:val="false"/>
          <w:sz w:val="20"/>
          <w:u w:val="single"/>
        </w:rPr>
        <w:t>October 2026 Debenture</w:t>
      </w:r>
      <w:r>
        <w:rPr>
          <w:rFonts w:ascii="Times New Roman;Times;Serif" w:hAnsi="Times New Roman;Times;Serif"/>
          <w:b w:val="false"/>
          <w:i w:val="false"/>
          <w:caps w:val="false"/>
          <w:smallCaps w:val="false"/>
          <w:sz w:val="20"/>
        </w:rPr>
        <w:t>s”), and any payments or proceeds of Collateral shall be shared ratably among the holders of the October 2026 Debentures and the April 2026 Debentures based on the respective outstanding principal amounts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Company’s failure to pay to the Holder any amount of Principal within five (5) Business Days of the Maturity Date;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or any subsidiary of the Company shall commence, or there shall be commenced against the Company or any subsidiary of the Company under any applicable bankruptcy or insolvency laws as now or hereafter in effect or any successor thereto, or the Company or any subsidiary of the Company commences any other proceeding under any reorganization, arrangement, adjustment of debt, relief of debtors, dissolution, insolvency or liquidation or similar law of any jurisdiction whether now or hereafter in effect relating to the Company or any subsidiary of the Company or there is commenced against the Company or any subsidiary of the Company any such bankruptcy, insolvency or other proceeding which remains undismissed for a period of sixty-one (61) days; or the Company or any subsidiary of the Company is adjudicated insolvent or bankrupt; or any order of relief or other order approving any such case or proceeding is entered; or the Company or any subsidiary of the Company suffers any appointment of any custodian, private or court appointed receiver or the like for it or any substantial part of its property which continues undischarged or unstayed for a period of sixty-one (61) days; or the Company or any subsidiary of the Company makes a general assignment for the benefit of creditors; or the Company or any subsidiary of the Company shall fail to pay, or shall state that it is unable to pay, or shall be unable to pay, its debts generally as they become due; or the Company or any subsidiary of the Company shall call a meeting of its creditors with a view to arranging a composition, adjustment or restructuring of its debts; or the Company or any subsidiary of the Company shall by any act or failure to act expressly indicate its consent to, approval of or acquiescence in any of the foregoing; or any corporate or other action is taken by the Company or any subsidiary of the Company for the purpose of effecting any of the foregoing;</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or any subsidiary of the Company shall default in any of its obligations under any other debenture or any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or any subsidiary of the Company in an amount exceeding $200,000, whether such indebtedness now exists or shall hereafter be created and such default shall result in such indebtedness becoming or being declared due and payable and such default is not cured within ten (10) Business Days;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Common Stock shall cease to be quoted or listed for trading on the Primary Market for a period of five (5) consecutive Trading Days and such failure is not cured within ten (10) Trading Days after notice thereof;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fail to observe or perform any other material covenant, agreement or warranty contained in, or otherwise commit any material breach or default of any provision of this Debenture (except as may be covered by Section 2(a)(i) through 2(a)(v) hereof) or any Transaction Document (as defined in Section 16) which is not cured within the time prescribed (or, if no cure period is prescribed, which is not cured within ten (10) Business Days after written notice thereof from the Holder to the Company).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shall fail to maintain the Minimum Reserve (as defined in Section 3(i) below);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Security Agreement and related documents shall for any reason fail or cease to create a separate valid and perfected and first priority Lien (ranking pari passu only with the Liens securing the April 2026 Debentures and the October 2026 Debentures) on the Collateral (as defined in the Security Agreement) in favor of Holder and such breach remains uncured for a period of three (3) Business Days;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time that any portion of this Debenture is outstanding, if any Event of Default has occurred and is continuing, the full unpaid Principal amount of this Debenture, together with interest and other amounts owing in respect thereof, to the date of acceleration shall become at the Holder’s election, immediately due and payable in cash. The Holder need not provide and the Company hereby waives any presentment, demand, protest or other notice of any kind, and the Holder may immediately enforce any and all of its rights and remedies hereunder and all other remedies available to it under applicable law. Such declaration may be rescinded and annulled by Holder at any time prior to payment hereunder. No such rescission or annulment shall affect any subsequent Event of Default or impair any right consequent thereon.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At any time until the Principal Amount plus any unpaid and accrued interest is paid in full, this Debenture shall be convertible at the option of the Holder, in whole or in part, at any time and from time to time into that number of Common Shares of the Company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as is determined in accordance with this Section.</w:t>
      </w:r>
    </w:p>
    <w:p>
      <w:pPr>
        <w:pStyle w:val="TextBody"/>
        <w:bidi w:val="0"/>
        <w:spacing w:before="0" w:after="0"/>
        <w:ind w:left="36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 xml:space="preserve">Change of Control Transaction. </w:t>
      </w:r>
      <w:r>
        <w:rPr>
          <w:rFonts w:ascii="Times New Roman;Times;Serif" w:hAnsi="Times New Roman;Times;Serif"/>
          <w:b w:val="false"/>
          <w:i w:val="false"/>
          <w:caps w:val="false"/>
          <w:smallCaps w:val="false"/>
          <w:sz w:val="20"/>
        </w:rPr>
        <w:t>In the event of a Change of Control Transaction prior to the conversion or the repayment of this Debenture, at the closing of such Change of Control, the Holder may elect that either: (i) the Company will pay the holder of such Debenture an amount equal to the Principal Amount plus any unpaid and accrued interest or (ii) such Debenture will convert into that number of Conversion Shares as is determined in accordance with this Section.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xml:space="preserve"> The Holder shall effect conversions by delivering to the Company a Notice of Conversion, the form of which is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specifying therein the Principal Amount to be converted and the date on which such conversion shall be effected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If no Conversion Date is specified in a Notice of Conversion, the Conversion Date shall be the date that is two business days after such Notice of Conversion is deemed delivered hereunder.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Partial Conversion</w:t>
      </w:r>
      <w:r>
        <w:rPr>
          <w:rFonts w:ascii="Times New Roman;Times;Serif" w:hAnsi="Times New Roman;Times;Serif"/>
          <w:b w:val="false"/>
          <w:i w:val="false"/>
          <w:caps w:val="false"/>
          <w:smallCaps w:val="false"/>
          <w:sz w:val="20"/>
        </w:rPr>
        <w:t>. Conversions hereunder shall have the effect of lowering the outstanding Principal Amount in an amount equal to the amount converted. The Company shall maintain records showing the Principal Amount(s) converted and the date of such conversion(s). The Company may deliver an objection to any Notice of Conversion within one (1) Business Day of delivery of such Notice of Conversion based on a discrepancy in the Principal Amount to be converted, or other invalidity of the Notice of Conversion. In the event of any dispute or discrepancy, the records of the Company shall be controlling and determinative in the absence of manifest error. The Holder, and any assignee by acceptance of this Debenture, acknowledge and agree that, by reason of the provisions of this paragraph, following conversion of a portion of this Debenture, the unpaid and unconverted Principal Amount may be less than the amount stated on the face hereof.</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in effect on any Conversion Date shall be equal to $0.386, subject to adjustment herein pursuant to Section 3(g)(the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Conversion Shares Issuable Upon Conversion of Principal Amount</w:t>
      </w:r>
      <w:r>
        <w:rPr>
          <w:rFonts w:ascii="Times New Roman;Times;Serif" w:hAnsi="Times New Roman;Times;Serif"/>
          <w:b w:val="false"/>
          <w:i w:val="false"/>
          <w:caps w:val="false"/>
          <w:smallCaps w:val="false"/>
          <w:sz w:val="20"/>
        </w:rPr>
        <w:t>. The number of Conversion Shares issuable upon a conversion hereunder shall be determined by the quotient obtained by dividing (x) the aggregate of the outstanding Principal Amount plus any unpaid and accrued interest, by (y) the Conversion Price. The Conversion Shares shall be duly authorized, validly issued, fully paid, and nonassessable upon issuance.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Surrender of Debenture</w:t>
      </w:r>
      <w:r>
        <w:rPr>
          <w:rFonts w:ascii="Times New Roman;Times;Serif" w:hAnsi="Times New Roman;Times;Serif"/>
          <w:b w:val="false"/>
          <w:i w:val="false"/>
          <w:caps w:val="false"/>
          <w:smallCaps w:val="false"/>
          <w:sz w:val="20"/>
        </w:rPr>
        <w:t>. No ink-original Notice of Conversion shall be required, nor shall any medallion guarantee (or other type of guarantee or notarization) of any Notice of Conversion be required. To effect conversions hereunder, the Holder shall not be required to physically surrender this Debenture to the Company unless the entire Principal Amount has been so converted in which case the Holder shall surrender this Debenture as promptly as is reasonably practicable after such conversion without delaying the Company’s obligation to deliver the Conversion Shares on the Share Delivery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Delivery of Shares Upon Conversion</w:t>
      </w:r>
      <w:r>
        <w:rPr>
          <w:rFonts w:ascii="Times New Roman;Times;Serif" w:hAnsi="Times New Roman;Times;Serif"/>
          <w:b w:val="false"/>
          <w:i w:val="false"/>
          <w:caps w:val="false"/>
          <w:smallCaps w:val="false"/>
          <w:sz w:val="20"/>
        </w:rPr>
        <w:t>. Not later than two (2) Trading Days after each Conversion Date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the Company shall deliver, or cause to be delivered, to the Holder a book entry statement representing the Conversion Shares. Provided, however, if Conversion Shares have been duly registered under an effective registration statement filed under the Securities Act, or if the Conversion Date is on or after the six month anniversary of the Original Issue Date and if the Conversion Shares or interest Shares shall be free of trading restrictions, the Company may deliver any Shares required to be delivered by the Company under this Section 3(b)(6) electronically through the Depository Trust Company, or another established clearing corporation performing similar functions.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Failure to Deliver Shares</w:t>
      </w:r>
      <w:r>
        <w:rPr>
          <w:rFonts w:ascii="Times New Roman;Times;Serif" w:hAnsi="Times New Roman;Times;Serif"/>
          <w:b w:val="false"/>
          <w:i w:val="false"/>
          <w:caps w:val="false"/>
          <w:smallCaps w:val="false"/>
          <w:sz w:val="20"/>
        </w:rPr>
        <w:t>. If, in the case of any Notice of Conversion or Company Notice of Conversion, such Shares are not delivered to or as directed by the Holder by the Share Delivery Date (provided the Holder gave accurate delivery instructions), the Holder shall be entitled to elect by written notice to the Company at any time on or before its receipt of such Shares, to rescind such Conversion, in which event the Company shall promptly return to the Holder any original Debenture delivered to the Company and the Holder shall promptly return to the Company any Shares issued to such Holder pursuant to the rescinded Conversion Notice but received by the Holder after such rescission.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or scrip representing fractional Shares shall be issued upon the conversion of this Debenture. As to any fraction of a Share which the Holder would otherwise be entitled to purchase upon such conversion, the Company shall at its election, either pay a cash adjustment in respect of such final fraction in an amount equal to such fraction multiplied by the Conversion Price or round up to the next whole Share.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Taxes and Expenses</w:t>
      </w:r>
      <w:r>
        <w:rPr>
          <w:rFonts w:ascii="Times New Roman;Times;Serif" w:hAnsi="Times New Roman;Times;Serif"/>
          <w:b w:val="false"/>
          <w:i w:val="false"/>
          <w:caps w:val="false"/>
          <w:smallCaps w:val="false"/>
          <w:sz w:val="20"/>
        </w:rPr>
        <w:t>. The issuance of Conversion Shares shall be made without charge to the Holder hereof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Conversion Shares upon conversion in a name other than that of the Holder of this Debenture so converted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 xml:space="preserve">Conversion Share Reserve. </w:t>
      </w:r>
      <w:r>
        <w:rPr>
          <w:rFonts w:ascii="Times New Roman;Times;Serif" w:hAnsi="Times New Roman;Times;Serif"/>
          <w:b w:val="false"/>
          <w:i w:val="false"/>
          <w:caps w:val="false"/>
          <w:smallCaps w:val="false"/>
          <w:sz w:val="20"/>
        </w:rPr>
        <w:t>The Company covenants that it will at all times reserve and keep available out of its authorized and unissued Common Shares a reserve of shares equal to the number of Conversion Shares required for full conversion of the Principal Amount hereunder, free from preemptive rights or any other actual contingent purchase rights of persons other than the Holder.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Stock Dividends and Stock Splits</w:t>
      </w:r>
      <w:r>
        <w:rPr>
          <w:rFonts w:ascii="Times New Roman;Times;Serif" w:hAnsi="Times New Roman;Times;Serif"/>
          <w:b w:val="false"/>
          <w:i w:val="false"/>
          <w:caps w:val="false"/>
          <w:smallCaps w:val="false"/>
          <w:sz w:val="20"/>
        </w:rPr>
        <w:t>. If the Company, at any time while this Debenture is outstanding: (i) pays a stock dividend or otherwise makes a distribution or distributions payable in Shares, (ii) subdivides outstanding Shares into a larger number of Shares, (iii) combines (including by way of a reverse stock split) outstanding Shares into a smaller number of shares or (iv) issues, in the event of a reclassification of Shares, any shares of capital stock of the Company, then the Conversion Price shall be multiplied by a fraction of which the numerator shall be the number of Shares (excluding any treasury shares of the Company) outstanding immediately before such event, and of which the denominator shall be the number of Shares outstanding immediately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3(g) shall be made to the nearest 1/100th of a cent or the nearest 1/100th of a share, as the case may be. For purposes of this Section 3(7), the number of Shares deemed to be issued and outstanding as of a given date shall be the sum of the number of Shares (excluding any treasury shares of the Company) issued and outstanding.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Notice to the Holder; Adjustment to Conversion Price</w:t>
      </w:r>
      <w:r>
        <w:rPr>
          <w:rFonts w:ascii="Times New Roman;Times;Serif" w:hAnsi="Times New Roman;Times;Serif"/>
          <w:b w:val="false"/>
          <w:i w:val="false"/>
          <w:caps w:val="false"/>
          <w:smallCaps w:val="false"/>
          <w:sz w:val="20"/>
        </w:rPr>
        <w:t>. Whenever the Conversion Price is adjusted pursuant to any provision of this Section 3(7), the Company shall promptly deliver to each Holder a notice setting forth the Conversion Price after such adjustment and setting forth a brief statement of the facts requiring such adjustment.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 xml:space="preserve">NASDAQ Rules Ownership Limitations </w:t>
      </w:r>
      <w:r>
        <w:rPr>
          <w:rFonts w:ascii="Times New Roman;Times;Serif" w:hAnsi="Times New Roman;Times;Serif"/>
          <w:b w:val="false"/>
          <w:i w:val="false"/>
          <w:caps w:val="false"/>
          <w:smallCaps w:val="false"/>
          <w:sz w:val="20"/>
        </w:rPr>
        <w:t>Notwithstanding anything in the Debenture to the contrary, in no event shall the Holder be entitled to convert a Principal Amount (or portions thereof) in excess of the Principal Amount (or portions thereof) upon conversion of which the sum of (i) the number of shares of Common Stock beneficially owned by the Holder and its affiliates (other than shares of Common Stock which may be deemed beneficially owned through the ownership of the unexercised Warrants and the unexercised or unconverted portion of any other securities of the Company subject to a limitation on conversion or exercise analogous to the limitation contained herein) and (ii) the number of Conversion Shares issuable upon conversion of the Principal Amount (or portions thereof) with respect to which the determination described herein is being made, would result in beneficial ownership by the Holder and its affiliates of more than 4.99% or 9.99% of the outstanding shares of Common Stock, nor more than 19.99% of the outstanding shares of Common Stock without stockholder consent in accordance with Nasdaq Rules. For purposes of this paragraph, beneficial ownership shall be determined in accordance with Section 13(d) of the Securities Exchange Act of 1934. Notwithstanding anything herein to the contrary, the Company shall not issue any Conversion Shares, and the Holder shall not have the right to convert any portion of this Debenture, to the extent that, after giving effect to such issuance, the aggregate number of shares of Common Stock issued upon conversion of the October 2026 Debentures, together with any other shares of Common Stock required to be aggregated therewith under the rules of the Nasdaq Stock Market, would exceed the number of shares of Common Stock that the Company may issue without stockholder approval under Nasdaq Listing Rule 5635, unless and until such stockholder approval has been obtained; and the Company shall use its commercially reasonable efforts to obtain such stockholder approval if and to the extent required.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Share Reservation</w:t>
      </w:r>
      <w:r>
        <w:rPr>
          <w:rFonts w:ascii="Times New Roman;Times;Serif" w:hAnsi="Times New Roman;Times;Serif"/>
          <w:b w:val="false"/>
          <w:i w:val="false"/>
          <w:caps w:val="false"/>
          <w:smallCaps w:val="false"/>
          <w:sz w:val="20"/>
        </w:rPr>
        <w:t>. The Company covenants that it will at all times reserve and keep available out of its authorized and unissued shares of Common Stock a reserve of shares equal to the number of shares required for full exercise of the securities offered under the Securities Purchase Agreement, , free from preemptive rights or any other actual contingent purchase rights of persons other than the Holder (the “</w:t>
      </w:r>
      <w:r>
        <w:rPr>
          <w:rFonts w:ascii="Times New Roman;Times;Serif" w:hAnsi="Times New Roman;Times;Serif"/>
          <w:b w:val="false"/>
          <w:i w:val="false"/>
          <w:caps w:val="false"/>
          <w:smallCaps w:val="false"/>
          <w:sz w:val="20"/>
          <w:u w:val="single"/>
        </w:rPr>
        <w:t>Minimum Reserve</w:t>
      </w:r>
      <w:r>
        <w:rPr>
          <w:rFonts w:ascii="Times New Roman;Times;Serif" w:hAnsi="Times New Roman;Times;Serif"/>
          <w:b w:val="false"/>
          <w:i w:val="false"/>
          <w:caps w:val="false"/>
          <w:smallCaps w:val="false"/>
          <w:sz w:val="20"/>
        </w:rPr>
        <w:t>”). The Company covenants that all shares of Common Stock that shall be so issuable shall, upon issue, be duly and validly authorized, issued and fully paid, nonassessable. The Company shall take commercially reasonable steps to authorize additional shares upon reasonable request.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REISSUANCE OF THIS DEBENTURE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this Debenture is to be transferred, the Holder shall surrender this Debenture to the Company, whereupon the Company will forthwith issue and deliver upon the order of the Holder a new Debenture (in accordance with Section 4(d)),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4(d)) to the Holder representing the outstanding Principal not being transferred. The Holder and any assignee, by acceptance of this Debenture, acknowledge and agree that, by reason of the provisions of this Debenture, the outstanding Principal represented by this Debenture may be less than the Principal stated on the face of this Debenture.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Debenture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4(d)) representing the outstanding Principal.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Debenture Exchangeable for Different Denominations</w:t>
      </w:r>
      <w:r>
        <w:rPr>
          <w:rFonts w:ascii="Times New Roman;Times;Serif" w:hAnsi="Times New Roman;Times;Serif"/>
          <w:b w:val="false"/>
          <w:i w:val="false"/>
          <w:caps w:val="false"/>
          <w:smallCaps w:val="false"/>
          <w:sz w:val="20"/>
        </w:rPr>
        <w:t>. This Debenture is exchangeable, upon the surrender hereof by the Holder at the principal office of the Company, for a new Debenture or Debentures (in accordance with Section 4(d)) representing in the aggregate the outstanding Principal of this Debenture, and each such new Debenture will represent such portion of such outstanding Principal as is designated by the Holder at the time of such surrender.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Debentures</w:t>
      </w:r>
      <w:r>
        <w:rPr>
          <w:rFonts w:ascii="Times New Roman;Times;Serif" w:hAnsi="Times New Roman;Times;Serif"/>
          <w:b w:val="false"/>
          <w:i w:val="false"/>
          <w:caps w:val="false"/>
          <w:smallCaps w:val="false"/>
          <w:sz w:val="20"/>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4(a) or Section 4(c),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 (v) shall represent accrued and unpaid Interest from the Issuance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consents, waivers or other communications required or permitted to be given under the terms hereof must be in writing and will be deemed to have been delivered: (i) upon receipt, when delivered personally; (ii) upon receipt, when sent by email (provided confirmation of transmission is electronically generated and kept on file by the sending party); or (iii) one (1) Trading Day after deposit with a nationally recognized overnight delivery service, in each case properly addressed to the party to receive the same. The addresses and email for such communications shall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 Logan St., Suite 660, Unit 51767</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 80203</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legal@authid.ai</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Fleming PLLC</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Wall, 8</w:t>
      </w:r>
      <w:r>
        <w:rPr>
          <w:rFonts w:ascii="Times New Roman;Times;Serif" w:hAnsi="Times New Roman;Times;Serif"/>
          <w:b w:val="false"/>
          <w:i w:val="false"/>
          <w:caps w:val="false"/>
          <w:smallCaps w:val="false"/>
          <w:position w:val="8"/>
          <w:sz w:val="20"/>
          <w:sz w:val="25"/>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Stephen Fleming, Esq.</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smf@flemingpllc.com</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«Registration_Name»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«Address_1»</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«Address_2», «State_Code» «ZIP_or_Postal_Code»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«Email_Address»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facsimile or receipt from a nationally recognized overnight delivery service in accordance with clause (i), (ii) or (iii) above,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their subsidiaries not to (which shall not be unreasonably withheld, conditioned or delayed), without the consent of the Holder, (i) amend its certificate of incorporation, bylaws or other charter documents so as to adversely affect any rights of the Holder (it being agreed that a reverse stock split of the Common Stock, and any amendment to the Company’s certificate of incorporation effecting the same, undertaken to maintain the listing of the Common Stock on a Primary Market shall not be deemed to adversely affect the rights of the Holder, and the Holder hereby consents thereto); (ii) repay, repurchase or offer to repay, repurchase or otherwise acquire shares of its Common Stock or other equity securities; or (iii) enter into any agreement with respect to any of the foregoing.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No indebtedness of the Company is senior to this Debenture in right of payment, whether with respect to interest, damages or upon liquidation or dissolution or otherwise, and this Debenture ranks pari passu in seniority and right of repayment with the April 2026 Debentures and October 2026 Debentures. Without the Holder’s consent, the Company will not and will not permit any of their subsidiaries to, directly or indirectly, enter into, create, incur, assume or suffer to exist any indebtedness of any kind, on or with respect to any of its property or assets now owned or hereafter acquired or any interest therein or any income or profits there from that is senior in any respect to, , the obligations of the Company under this Debenture other than Permitted Liens (as such terms is defined in the Security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This Debenture shall be governed by and construed in accordance with the laws of the State of New York, without giving effect to conflicts of laws thereof. Each of the parties hereto irrevocably submits to the exclusive jurisdiction of any state or federal court sitting in the Borough of Manhattan, City and State of New York, in any action or proceeding arising out of or relating to this Debenture and agrees that all claims in respect of such action or proceeding may be heard and determined in such New York state or federal court. Each of the parties hereto irrevocably waives, to the fullest extent permitted by applicable law, any objection that it may now or hereafter have to the laying of venue in any such court and any defense of inconvenient forum to the maintenance of such action or proceeding in any such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the Company fails to strictly comply with the terms of this Debenture, then the Company shall reimburse the Holder promptly for all fees, costs and expenses, including, without limitation, reasonable attorneys’ fees and expenses incurred by the Holder in any action in connection with this Debenture,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any provision of this Debenture is invalid, illegal or unenforceable, the balance of this Debenture shall remain in effect, and if any provision is inapplicable to any person or circumstance, it shall nevertheless remain applicable to all other persons and circumstances.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Whenever any payment or other obligation hereunder shall be due on a day other than a Business Day, such payment shall be made on the next succeeding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In the event of a proposed amendment of this Debenture, such amendment shall be effective only with respect to each individual Holder that has provided its prior written consent to such amendment, and no Holder shall be bound by or subject to any such amendment unless such Holder has separately and expressly consented to it in writing; provided, however, that no such amendment shall require or result in the mandatory conversion or extension of any individual Holder’s Debenture without the prior written consent of such Holder, and each Holder shall retain the sole and independent right to determine whether or not to convert or to extend its own Debenture.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xml:space="preserve"> For purposes of this Debenture,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Saturday, Sunday and any day which shall be a federal legal holiday in the United States or a day on which banking institutions are authorized or required by law or other government action to close.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Change of Control Transaction</w:t>
      </w:r>
      <w:r>
        <w:rPr>
          <w:rFonts w:ascii="Times New Roman;Times;Serif" w:hAnsi="Times New Roman;Times;Serif"/>
          <w:b w:val="false"/>
          <w:i w:val="false"/>
          <w:caps w:val="false"/>
          <w:smallCaps w:val="false"/>
          <w:sz w:val="20"/>
        </w:rPr>
        <w:t>” means the occurrence of (i)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securities of the Company (except that the acquisition of voting securities by the Holder or any other current holder of convertible securities of the Company shall not constitute a Change of Control Transaction for purposes hereof), (ii) a replacement at one time or over time of more than one-half of the members of the board of directors of the Company (other than as due to the death or disability of a member of the board of directors) which is not approved by a majority of those individuals who are members of the board of directors on the date hereof (or by those individuals who are serving as members of the board of directors on any date whose nomination to the board of directors was approved by a majority of the members of the board of directors who are members on the date hereof), (iii) the merger, consolidation or sale of fifty percent (50%) or more of the assets of the Company or any subsidiary of the Company in one or a series of related transactions with or into another entity. No transfer to a wholly-owned subsidiary shall be deemed a Change of Control Transaction under this provision.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$0.0001, of the Company and stock of any other class into which such shares may hereafter be changed or reclassified.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Other Debentures</w:t>
      </w:r>
      <w:r>
        <w:rPr>
          <w:rFonts w:ascii="Times New Roman;Times;Serif" w:hAnsi="Times New Roman;Times;Serif"/>
          <w:b w:val="false"/>
          <w:i w:val="false"/>
          <w:caps w:val="false"/>
          <w:smallCaps w:val="false"/>
          <w:sz w:val="20"/>
        </w:rPr>
        <w:t>” means any other debentures, notes, or other instruments issued in exchange, replacement, or modification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means the date of the first issuance of this Debenture regardless of the number of transfers and regardless of the number of instruments, which may be issued to evidence such Debenture.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 corporation, an association, a partnership, organization, a business, an individual, a government or political subdivision thereof or a governmental agency.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Primary Market</w:t>
      </w:r>
      <w:r>
        <w:rPr>
          <w:rFonts w:ascii="Times New Roman;Times;Serif" w:hAnsi="Times New Roman;Times;Serif"/>
          <w:b w:val="false"/>
          <w:i w:val="false"/>
          <w:caps w:val="false"/>
          <w:smallCaps w:val="false"/>
          <w:sz w:val="20"/>
        </w:rPr>
        <w:t>” means any of the New York Stock Exchange, the NYSE American, the Nasdaq Global Market, the Nasdaq Global Select Market, or the OTCQB, and any successor to any of the foregoing markets or exchanges.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means that certain Security Agreement, by and among the Company, any Subsidiary of the Company now joined or joined in the future, and the Holder, dated as of the date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shares of Common Stock are quoted or traded on a Primary Market on which the shares of Common Stock are then quoted or listed; provided, that in the event that the shares of Common Stock are not listed or quoted, then Trading Day shall mean a Business Day.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shall mean this Debenture, along with the Securities Purchase Agreement and Security Agreement, and any other documents or agreements entered into in connection with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DEBENTURE</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caused this Senior Secured Debenture to be duly executed by a duly authorized officer as of the date set forth above.</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710"/>
        <w:gridCol w:w="230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AUTHID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Thomas R. Szoke</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2300" w:type="dxa"/>
            <w:tcBorders/>
            <w:vAlign w:val="center"/>
          </w:tcPr>
          <w:p>
            <w:pPr>
              <w:pStyle w:val="TableContents"/>
              <w:bidi w:val="0"/>
              <w:spacing w:before="0" w:after="283"/>
              <w:jc w:val="left"/>
              <w:rPr/>
            </w:pPr>
            <w:r>
              <w:rPr/>
              <w:t>Thomas R. Szoke</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ea030800701ex10-3.htm"/>
      <w:bookmarkStart w:id="29" w:name="ksea030800701ex103"/>
      <w:bookmarkEnd w:id="28"/>
      <w:bookmarkEnd w:id="29"/>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WARRANT NOR THE SHARES ISSUABLE UPON EXERCISE OF THE WARRANT HAVE BEEN REGISTERED UNDER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OR UNDER THE SECURITIES LAWS OF ANY STATES. THE WARRANT AND THE SHARES ISSUABLE UPON EXERCISE OF THE WARRANT ARE SUBJECT TO RESTRICTIONS ON TRANSFERABILITY AND RESALE AND MAY NOT BE TRANSFERRED OR RESOLD EXCEPT AS PERMITTED UNDER THE SECURITIES ACT AND THE APPLICABLE STATE SECURITIES LAWS. UNLESS SOLD PURSUANT TO AN EFFECTIVE REGISTRATION STATEMENT UNDER THE SECURITIES ACT, THE ISSUER OF THESE SECURITIES MAY REQUIRE AN OPINION OF COUNSEL IN FORM AND SUBSTANCE SATISFACTORY TO THE ISSUER TO THE EFFECT THAT REGISTRATION IS NOT REQUIRED UNDER THE SECURITIES ACT.</w:t>
      </w:r>
    </w:p>
    <w:p>
      <w:pPr>
        <w:pStyle w:val="TextBody"/>
        <w:bidi w:val="0"/>
        <w:spacing w:before="0" w:after="0"/>
        <w:ind w:left="792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Purchase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value $0.0001 per share</w:t>
            </w:r>
          </w:p>
        </w:tc>
      </w:tr>
    </w:tbl>
    <w:p>
      <w:pPr>
        <w:pStyle w:val="TextBody"/>
        <w:bidi w:val="0"/>
        <w:spacing w:before="0" w:after="0"/>
        <w:ind w:left="79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CERTIFIES THAT</w:t>
      </w:r>
      <w:r>
        <w:rPr>
          <w:rFonts w:ascii="Times New Roman;Times;Serif" w:hAnsi="Times New Roman;Times;Serif"/>
          <w:b w:val="false"/>
          <w:i w:val="false"/>
          <w:caps w:val="false"/>
          <w:smallCaps w:val="false"/>
          <w:sz w:val="20"/>
        </w:rPr>
        <w:t>, for value received, the person named below (the “Holder”) or its registered assigns, is entitled to purchase from </w:t>
      </w:r>
      <w:r>
        <w:rPr>
          <w:rFonts w:ascii="Times New Roman;Times;Serif" w:hAnsi="Times New Roman;Times;Serif"/>
          <w:b/>
          <w:i w:val="false"/>
          <w:caps w:val="false"/>
          <w:smallCaps w:val="false"/>
          <w:sz w:val="20"/>
        </w:rPr>
        <w:t>authID Inc.,</w:t>
      </w:r>
      <w:r>
        <w:rPr>
          <w:rFonts w:ascii="Times New Roman;Times;Serif" w:hAnsi="Times New Roman;Times;Serif"/>
          <w:b w:val="false"/>
          <w:i w:val="false"/>
          <w:caps w:val="false"/>
          <w:smallCaps w:val="false"/>
          <w:sz w:val="20"/>
        </w:rPr>
        <w:t> a Delaware corporation (the “Company”), at any time or from time to time during the period specified in Paragraph 2 hereof, the number of fully paid and nonassessable shares of the Company’s Common Stock, par value $0.0001 per share (the “Common Stock”), at an exercise price per share (the “Exercise Price”) each as are set forth in the Warrant details below.</w:t>
      </w:r>
    </w:p>
    <w:p>
      <w:pPr>
        <w:pStyle w:val="TextBody"/>
        <w:bidi w:val="0"/>
        <w:spacing w:before="0" w:after="0"/>
        <w:ind w:left="0" w:right="0" w:firstLine="72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75"/>
        <w:gridCol w:w="245"/>
        <w:gridCol w:w="2195"/>
        <w:gridCol w:w="1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Warrant Information.</w:t>
            </w:r>
          </w:p>
        </w:tc>
        <w:tc>
          <w:tcPr>
            <w:tcW w:w="14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14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Warrant:</w:t>
            </w:r>
          </w:p>
        </w:tc>
        <w:tc>
          <w:tcPr>
            <w:tcW w:w="140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October 6,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tc>
        <w:tc>
          <w:tcPr>
            <w:tcW w:w="1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Address:</w:t>
            </w:r>
          </w:p>
        </w:tc>
        <w:tc>
          <w:tcPr>
            <w:tcW w:w="14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Warrant Shares:</w:t>
            </w:r>
          </w:p>
        </w:tc>
        <w:tc>
          <w:tcPr>
            <w:tcW w:w="1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2031</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“Warrant Shares,” as used herein, refers to the shares of Common Stock purchasable hereunder. The Warrant Shares and the Exercise Price are subject to adjustment as provided in Paragraph 4 hereof.</w:t>
      </w:r>
    </w:p>
    <w:p>
      <w:pPr>
        <w:pStyle w:val="TextBody"/>
        <w:bidi w:val="0"/>
        <w:spacing w:before="0" w:after="0"/>
        <w:ind w:left="0" w:right="0" w:firstLine="120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is subject to the following terms, provisions, and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Manner of Exercise; Issuance of Shares; Payment for Shares.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Subject to the provisions hereof, this Warrant may be exercised by the Holder, in whole or in part, by the surrender of this Warrant, together with a completed notice of exercise in the form attached hereto (the “Notice of Exercise”), to the Company during normal business hours on any business day at the Company’s principal executive offices (or such other office or agency of the Company as it may designate by notice to the Holder), and upon payment to the Company in cash, by certified or official bank check or by wire transfer for the account of the Company of the Exercise Price for the Warrant Shares specified in the Notice of Exercise. The Warrant Shares so purchased shall be deemed to be issued to the Holder or such Holder’s designee, as the record owner of such Shares, as of the close of business on the date on which this Warrant shall have been surrendered, the completed Notice of Exercise shall have been delivered, and payment shall have been made for such Shares as set forth above. The Company will direct the Company’s Transfer Agent to issue to the Holder the Warrant Shares to which Holder is entitled within a reasonable time, not exceeding three (3) business days, after this Warrant shall have been so exercised. If this Warrant shall have been exercised only in part, then, unless this Warrant has expired, the Company shall, at its expense, at the time of delivery of such certificates or other evidence, deliver to the Holder a new Warrant representing the number of Warrant Shares with respect to which this Warrant shall not then have been exercised.</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at any time after the issuance the date of this Warrant, there is no Registration Statement effective and available for use by the Holder to resell the Warrant Shares immediately upon exercise of this Warrant, this Warrant may also be exercised in whole or in part by means of a “cashless” or net exercise, in the following manner. Under a cashless exercise the Holder shall be entitled to receive the number of Warrant Shares which is equal to the quotient obtained by dividing [(A-B) X (C)] by (A) where:</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Warrant Shares defined as the average of the last reported sale prices on the principal trading market for the Common Stock during the five (5) trading days immediately preceding such exercise date.</w:t>
            </w:r>
          </w:p>
        </w:tc>
      </w:tr>
    </w:tbl>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305"/>
        <w:gridCol w:w="3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hereunder (as adjusted).</w:t>
            </w:r>
          </w:p>
        </w:tc>
      </w:tr>
    </w:tbl>
    <w:p>
      <w:pPr>
        <w:pStyle w:val="TextBody"/>
        <w:bidi w:val="0"/>
        <w:spacing w:before="0" w:after="0"/>
        <w:ind w:left="1440" w:right="0" w:hanging="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305"/>
        <w:gridCol w:w="9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p>
        </w:tc>
        <w:tc>
          <w:tcPr>
            <w:tcW w:w="9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Warrant Shares that the Holder wishes to exercise as set forth in the applicable Notice of Exercise.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All Warrant Shares will be issued in “Book Entry” form and no certificates will be issued, unless the Warrant Shares are then registered under the Securities Act, or if the Company receives a written opinion of counsel, which opinion and counsel are acceptable to the Company, to the effect that such Warrant Shares may be freely transferred without registration under said Act and under applicable state securities or blue sky laws, in which case they may be issued to the Holder by DWAC, upon Holder providing the necessary information. Unless the Warrant Shares are then so registered, the Warrant Shares will be “restricted securities” under applicable securities laws and pursuant to these laws, Holder must hold the Warrant Shares indefinitely unless they are registered with the SEC and qualified by state authorities, or an exemption from such registration and qualification requirements is available. Holder acknowledges that the Company has no obligation to register or qualify the Warrant Shares for resale.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Unless the Warrant Shares are then registered under the Securities Act, the Warrant Shares shall bear a legend substantially to the following effect (as well as any legends required by applicable state corporate law or federal or state securities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THESE SHARES HAVE NOT BEEN REGISTERED UNDER THE SECURITIES ACT OF 1933 (“THE ACT”) AND ARE “RESTRICTED SECURITIES” AS THAT TERM IS DEFINED IN RULE 144 UNDER THE ACT. THESE SHARES MAY NOT BE OFFERED FOR SALE, SOLD, TRANSFERRED, ASSIGNED, PLEDGED OR HYPOTHECATED EXCEPT (I) PURSUANT TO AN EFFECTIVE REGISTRATION STATEMENT UNDER THE ACT, OR (II) UNLESS THE ISSUER HAS RECEIVED AN OPINION OF COUNSEL SATISFACTORY TO IT THAT THESE SHARES MAY BE SOLD PURSUANT TO RULE 144 OR ANOTHER AVAILABLE EXEMPTION UNDER THE ACT AND THE RULES AND REGULATIONS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compliance with the restrictions referred to herein, the Company may issue appropriate “stop transfer” instructions to its transfer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Notwithstanding anything in this Warrant to the contrary, in no event shall the Holder be entitled to exercise a number of Warrants (or portions thereof) in excess of the number of Warrants (or portions thereof) upon exercise of which the sum of (i) the number of shares of Common Stock beneficially owned by the Holder and its affiliates (other than shares of Common Stock which may be deemed beneficially owned through the ownership of the unexercised Warrants and the unexercised or unconverted portion of any other securities of the Company subject to a limitation on conversion or exercise analogous to the limitation contained herein) and (ii) the number of shares of Common Stock issuable upon exercise of the Warrants (or portions thereof) with respect to which the determination described herein is being made, would result in beneficial ownership by the Holder and its affiliates of more than 4.99/9.99% of the outstanding shares of Common Stock. For purposes of the immediately preceding sentence, beneficial ownership shall be determined in accordance with Section 13(d) of the Securities Exchange Act of 1934, as amended, and Regulation 13D-G thereunder, except as otherwise provided in clause (i) of the preceding sentence. Notwithstanding anything to the contrary contained herein, the limitation on exercise of this Warrant set forth herein may not be amended without the written consent of the Holder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Period of Exercise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shall not be exercisable unless the exercise of this Warrant is approved by the stockholders of the Company in accordance with Nasdaq Rules and until the date that is the date on which the exercise of this Warrant is approved by the stockholders of the Company in accordance with Nasdaq Rules (the “Initial Exercise Date”). From and after the Initial Exercise Date, this Warrant shall be exercisable, in whole or in part, at any time or from time to time, until 6:00 p.m., New York, New York time on the date set forth in paragraph (f) under “Warrant Details” above (the “Exercise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val="false"/>
          <w:smallCaps w:val="false"/>
          <w:sz w:val="20"/>
          <w:u w:val="single"/>
        </w:rPr>
        <w:t>Certain Agreements of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Company hereby covenants and agrees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val="false"/>
          <w:caps w:val="false"/>
          <w:smallCaps w:val="false"/>
          <w:sz w:val="20"/>
          <w:u w:val="single"/>
        </w:rPr>
        <w:t>Shares to be Fully Paid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All Warrant Shares will, upon issuance in accordance with the terms of this Warrant, be validly issued, fully paid, and nonassessable and free from all taxes, liens, and charges with respect to the issue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val="false"/>
          <w:caps w:val="false"/>
          <w:smallCaps w:val="false"/>
          <w:sz w:val="20"/>
          <w:u w:val="single"/>
        </w:rPr>
        <w:t>Reservation of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During the Exercise Period, the Company shall at all times have authorized, and reserved for the purpose of issuance upon exercise of this Warrant, a sufficient number of shares of Common Stock to provide for the exercise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will be binding upon any entity succeeding to the Company by merger, consolidation, or acquisition of all or substantially all the Company’s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Nasdaq Compliance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shall ensure that the issuance of Warrant Shares upon exercise complies with Nasdaq Listing Rule 5635, including the 19.99% limitation on issuances without stockholder approval unless otherwise permitted.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val="false"/>
          <w:smallCaps w:val="false"/>
          <w:sz w:val="20"/>
          <w:u w:val="single"/>
        </w:rPr>
        <w:t>Adjustment Provisions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During the Exercise Period, the Exercise Price and the number of Warrant Shares shall be subject to adjustment from time to time as provided in this Paragraph 4. In the event that any adjustment of the Exercise Price as required herein results in a fraction of a cent, such Exercise Price shall be rounded up to the nearest cent.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val="false"/>
          <w:caps w:val="false"/>
          <w:smallCaps w:val="false"/>
          <w:sz w:val="20"/>
          <w:u w:val="single"/>
        </w:rPr>
        <w:t>Subdivision or Combination of Common Stock</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If the Company at any time subdivides (by any stock split, stock dividend, recapitalization, reorganization, reclassification or otherwise) the shares of Common Stock acquirable hereunder into a greater number of shares, then, after the date of record for effecting such subdivision, the Exercise Price in effect immediately prior to such subdivision will be proportionately reduced. If the Company at any time combines (by reverse stock split, recapitalization, reorganization, reclassification or otherwise) the shares of Common Stock acquirable hereunder into a smaller number of shares, then, after the date of record for effecting such combination, the Exercise Price in effect immediately prior to such combination will be proportionately increased.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val="false"/>
          <w:caps w:val="false"/>
          <w:smallCaps w:val="false"/>
          <w:sz w:val="20"/>
          <w:u w:val="single"/>
        </w:rPr>
        <w:t>Adjustment in Number of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Upon each adjustment of the Exercise Price pursuant to the provisions of this Paragraph 4(a), the number of shares of Common Stock issuable upon exercise of this Warrant shall be adjusted by multiplying a number equal to the Exercise Price in effect immediately prior to such adjustment by the number of shares of Common Stock issuable upon exercise of this Warrant immediately prior to such adjustment and dividing the product so obtained by the adjusted Exercise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Consolidation, Merger or Sale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In case of any consolidation of the Company with, or merger of the Company into any other corporation, or in case of any sale or conveyance of all or substantially all of the assets of the Company other than in connection with a plan of complete liquidation of the Company, then as a condition of such consolidation, merger or sale or conveyance, adequate provision will be made whereby the Holder will have the right to acquire and receive upon exercise of this Warrant in lieu of the shares of Common Stock immediately theretofore acquirable upon the exercise of this Warrant, such shares of stock, securities or assets as may be issued or payable with respect to or in exchange for the number of shares of Common Stock immediately theretofore acquirable and receivable upon exercise of this Warrant had such consolidation, merger or sale or conveyance not taken place. In any such case, the Company will make appropriate provision to insure that the provisions of this Paragraph 4 hereof will thereafter be applicable as nearly as may be in relation to any shares of stock or securities thereafter deliverable upon the exercise of this Warrant. The Company will not effect any consolidation, merger or sale or conveyance unless prior to the consummation thereof, the successor corporation (if other than the Company) assumes by written instrument the obligations under this Paragraph 4 and the obligations to deliver to the Holder such shares of stock, securities or assets as, in accordance with the foregoing provisions, the Holder may be entitled to acquire.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caps w:val="false"/>
          <w:smallCaps w:val="false"/>
          <w:sz w:val="20"/>
          <w:u w:val="single"/>
        </w:rPr>
        <w:t>Issue Tax</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issuance of the Warrant Shares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val="false"/>
          <w:smallCaps w:val="false"/>
          <w:sz w:val="20"/>
          <w:u w:val="single"/>
        </w:rPr>
        <w:t>No Rights or Liabilities as a Shareholder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shall not entitle the Holder to any voting rights or other rights as a shareholder of the Company. No provision of this Warrant, in the absence of affirmative action by the Holder to purchase Warrant Shares, and no mere enumeration herein of the rights or privileges of the Holder, shall give rise to any liability of such Holder for the Exercise Price or as a shareholder of the Company, whether such liability is asserted by the Company or by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caps w:val="false"/>
          <w:smallCaps w:val="false"/>
          <w:sz w:val="20"/>
          <w:u w:val="single"/>
        </w:rPr>
        <w:t>Transfer, Exchange, and Replacement of Warrant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val="false"/>
          <w:caps w:val="false"/>
          <w:smallCaps w:val="false"/>
          <w:sz w:val="20"/>
          <w:u w:val="single"/>
        </w:rPr>
        <w:t>Procedure on Transfer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and the rights granted to the Holder are transferable, in whole or in part, upon surrender of this Warrant, together with a properly executed assignment in the form attached hereto, at the office or agency of the Company. Until due presentment for registration of transfer on the books of the Company, the Company may treat the registered Holder as the owner and holder of this Warrant for all purposes, and the Company shall not be affected by any notice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val="false"/>
          <w:caps w:val="false"/>
          <w:smallCaps w:val="false"/>
          <w:sz w:val="20"/>
          <w:u w:val="single"/>
        </w:rPr>
        <w:t>Warrant Exchangeable for Different Denominations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is exchangeable, upon the surrender hereof by the Holder at the office or agency of the Company, for new Warrants of like tenor representing in the aggregate the right to purchase the number of shares of Common Stock which may be purchased hereunder, each of such new Warrants to represent the right to purchase such number of shares as shall be designated by the Holder at the time of such surrender.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Replacement of Warrant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Upon receipt of evidence reasonably satisfactory to the Company of the loss, theft, destruction, or mutilation of this Warrant and, in the case of any such loss, theft, or destruction, upon delivery of an indemnity agreement reasonably satisfactory in form and amount to the Company, or, in the case of any such mutilation, upon surrender and cancellation of this Warrant, the Company, at its expense, will execute and deliver, in lieu thereof, a new Warrant of like tenor.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val="false"/>
          <w:caps w:val="false"/>
          <w:smallCaps w:val="false"/>
          <w:sz w:val="20"/>
          <w:u w:val="single"/>
        </w:rPr>
        <w:t>Cancellation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Upon the surrender of this Warrant in connection with any transfer, exchange, or replacement as provided in this Paragraph 7, this Warrant shall be promptly canceled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val="false"/>
          <w:caps w:val="false"/>
          <w:smallCaps w:val="false"/>
          <w:sz w:val="20"/>
          <w:u w:val="single"/>
        </w:rPr>
        <w:t>Register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Company shall maintain, at its principal executive offices (or such other office or agency of the Company as it may designate by notice to the Holder), a register for this Warrant, in which the Company shall record the name and address of the person in whose name this Warrant has been issued, as well as the name and address of each transferee and each prior owner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val="false"/>
          <w:caps w:val="false"/>
          <w:smallCaps w:val="false"/>
          <w:sz w:val="20"/>
          <w:u w:val="single"/>
        </w:rPr>
        <w:t>Exercise or Transfer Without Registration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If, at the time of the surrender of this Warrant in connection with any exercise, transfer, or exchange of this Warrant, this Warrant (or, in the case of any exercise, the Warrant Shares issuable hereunder), shall not be registered under the Securities Act of 1933, as amended (the “Securities Act”) and under applicable state securities or blue sky laws, the Company may require, as a condition of allowing such exercise, transfer, or exchange, (i) that the Holder or transferee of this Warrant, as the case may be, furnish to the Company a written opinion of counsel, which opinion and counsel are acceptable to the Company, to the effect that such exercise, transfer, or exchange may be made without registration under said Act and under applicable state securities or blue sky laws, (ii) that the Holder or transferee execute and deliver to the Company an investment representation letter in form and substance acceptable to the Company and (iii) that the transferee be an “accredited investor” as defined in Rule 501(a) promulgated under the Securities Act and provides representations to that effect in form and substance acceptable to the Company; provided that no such opinion, letter or status as an “accredited investor” shall be required in connection with a transfer pursuant to Rule 144 under the Securities Act. The first holder of this Warrant, by taking and holding the same, represents to the Company that such holder is acquiring this Warrant for investment and not with a view to the distribution thereof. In no event shall the Holder be permitted to assign the Warrant unless provided with express written consent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All notices, requests, and other communications required or permitted to be given or delivered hereunder to the Holder shall be in writing, and shall be personally delivered, or shall be sent by certified or registered mail or by recognized overnight mail courier, postage prepaid and addressed, to such holder at the address shown for such holder on the books of the Company, or at such other address as shall have been furnished to the Company by notice from such holder. All notices, requests, and other communications required or permitted to be given or delivered hereunder to the Company shall be in writing, and shall be personally delivered, or shall be sent by certified or registered mail or by recognized overnight mail courier, postage prepaid and addressed, to the office of the Company at 1580 N. Logan St., Suite 660, Unit 51767, Denver, Colorado 80203 Attn: Graham N. Arad or legal@authid.ai or at such other address as shall have been furnished to the Holder by notice from the Company. Any such notice, request, or other communication may be sent by e-mail. All notices, requests, and other communications shall be deemed to have been given either at the time of the receipt thereof by the person entitled to receive such notice at the address of such person for purposes of this Section 8, or, if mailed by registered or certified mail or with a recognized overnight mail courier upon deposit with the United States Post Office or such overnight mail courier, if postage is prepaid and the mailing is properly addressed, as the case may be.</w:t>
      </w:r>
    </w:p>
    <w:p>
      <w:pPr>
        <w:pStyle w:val="TextBody"/>
        <w:bidi w:val="0"/>
        <w:spacing w:before="0" w:after="0"/>
        <w:ind w:left="72"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Warrant shall be enforced, governed by and construed in accordance with the laws of the State of New York applicable to agreements made and to be performed entirely within such state, without regard to the principles of conflict of laws. The parties hereto hereby submit to the exclusive jurisdiction of the courts, Federal and State located in New York County, New York with respect to any dispute arising under this Warrant, the agreements entered into in connection herewith or the transactions contemplated hereby or thereby. Both parties irrevocably waive the defense of an inconvenient forum to the maintenance of such suit or proceeding. Both parties further agree that service of process upon a party mailed by first class mail shall be deemed in every respect effective service of process upon the party in any such suit or proceeding. Nothing herein shall affect either party’s right to serve process in any other manner permitted by law. The party which does not prevail in any dispute arising under this Warrant shall be responsible for all fees and expenses, including attorneys’ fees, incurred by the prevailing party in connection with such dispute.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Miscellaneous.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val="false"/>
          <w:caps w:val="false"/>
          <w:smallCaps w:val="false"/>
          <w:sz w:val="20"/>
          <w:u w:val="single"/>
        </w:rPr>
        <w:t>Amendments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and any provision hereof may only be amended by an instrument in writing signed by the Company and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val="false"/>
          <w:caps w:val="false"/>
          <w:smallCaps w:val="false"/>
          <w:sz w:val="20"/>
          <w:u w:val="single"/>
        </w:rPr>
        <w:t>Descriptive Headings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descriptive headings of the several paragraphs of this Warrant are inserted for purposes of reference only and shall not affect the meaning or construction of any of the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Holder, by vitiating the intent and purpose of the transaction contemplated hereby. Accordingly, the Company acknowledges that the remedy at law for a breach of its obligations under this Warrant will be inadequate and agrees, in the event of a breach or threatened breach by the Company of the provisions of this Warrant, that the Holder shall be entitled, in addition to all other available remedies at law or in equity, and in addition to the penalties assessable herein, to an injunction or injunctions restraining, preventing or curing any breach of this Warrant and to enforce specifically the terms and provisions thereof,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be signed by its duly authorized officer.</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365"/>
        <w:gridCol w:w="1895"/>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authID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 Sellitto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 __, 20__</w:t>
      </w:r>
    </w:p>
    <w:p>
      <w:pPr>
        <w:pStyle w:val="TextBody"/>
        <w:bidi w:val="0"/>
        <w:spacing w:before="0" w:after="0"/>
        <w:ind w:left="0" w:right="0" w:firstLine="648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320"/>
        <w:gridCol w:w="2120"/>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 Logan St Ste 660</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51767</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 80203</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Counsel</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legal@authid.ai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pursuant to the provisions set forth in the within Warrant, hereby agrees to purchase _____________ shares of Common Stock covered by such Warrant. The undersigned intends that payment of the Exercise Price shall be made as follows (check one and initial)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a cash exercise in the amount of $________ by means of wire transfer to Company’s bank account within two banking days of the date 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a cashless exercise in accordance with Section 1(b)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such shares of Common Stock in the name of and pay any cash for any fractional share to:</w:t>
      </w:r>
    </w:p>
    <w:p>
      <w:pPr>
        <w:pStyle w:val="TextBody"/>
        <w:bidi w:val="0"/>
        <w:spacing w:before="0" w:after="0"/>
        <w:ind w:left="0" w:right="0" w:firstLine="72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905"/>
        <w:gridCol w:w="8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9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8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w:t>
            </w:r>
          </w:p>
        </w:tc>
        <w:tc>
          <w:tcPr>
            <w:tcW w:w="8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89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89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8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tc>
        <w:tc>
          <w:tcPr>
            <w:tcW w:w="8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signature should correspond exactly with the name on the face of the within Warrant,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ASSIGNMENT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the undersigned hereby sells, assigns, and transfers all the rights of the undersigned under the within Warrant Number ________ , with respect to the number of shares of Common Stock covered thereby set forth hereinbelow, to:</w:t>
      </w:r>
    </w:p>
    <w:p>
      <w:pPr>
        <w:pStyle w:val="TextBody"/>
        <w:bidi w:val="0"/>
        <w:spacing w:before="0" w:after="0"/>
        <w:ind w:left="0" w:right="0" w:hanging="0"/>
        <w:jc w:val="left"/>
        <w:rPr>
          <w:caps w:val="false"/>
          <w:smallCaps w:val="false"/>
        </w:rPr>
      </w:pPr>
      <w:r>
        <w:rPr>
          <w:caps w:val="false"/>
          <w:smallCaps w:val="false"/>
        </w:rPr>
        <w:t> </w:t>
      </w:r>
    </w:p>
    <w:tbl>
      <w:tblPr>
        <w:tblW w:w="3330" w:type="dxa"/>
        <w:jc w:val="left"/>
        <w:tblInd w:w="0" w:type="dxa"/>
        <w:tblLayout w:type="fixed"/>
        <w:tblCellMar>
          <w:top w:w="0" w:type="dxa"/>
          <w:left w:w="0" w:type="dxa"/>
          <w:bottom w:w="28" w:type="dxa"/>
          <w:right w:w="0" w:type="dxa"/>
        </w:tblCellMar>
      </w:tblPr>
      <w:tblGrid>
        <w:gridCol w:w="1490"/>
        <w:gridCol w:w="60"/>
        <w:gridCol w:w="665"/>
        <w:gridCol w:w="60"/>
        <w:gridCol w:w="1055"/>
      </w:tblGrid>
      <w:tr>
        <w:trPr/>
        <w:tc>
          <w:tcPr>
            <w:tcW w:w="149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Assignee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 Shares</w:t>
            </w:r>
          </w:p>
        </w:tc>
      </w:tr>
      <w:tr>
        <w:trPr/>
        <w:tc>
          <w:tcPr>
            <w:tcW w:w="14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and hereby irrevocably constitutes and appoints ___________________________________ as agent and attorney-in-fact to transfer said Warrant on the books of the within-named corporation,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 __, 20__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0"/>
        <w:gridCol w:w="891"/>
        <w:gridCol w:w="7894"/>
      </w:tblGrid>
      <w:tr>
        <w:trPr/>
        <w:tc>
          <w:tcPr>
            <w:tcW w:w="1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presence of:</w:t>
            </w:r>
          </w:p>
        </w:tc>
        <w:tc>
          <w:tcPr>
            <w:tcW w:w="8785" w:type="dxa"/>
            <w:gridSpan w:val="2"/>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left"/>
              <w:rPr>
                <w:caps w:val="false"/>
                <w:smallCaps w:val="false"/>
              </w:rPr>
            </w:pPr>
            <w:r>
              <w:rPr>
                <w:caps w:val="false"/>
                <w:smallCaps w:val="false"/>
              </w:rPr>
              <w:t> </w:t>
            </w:r>
          </w:p>
        </w:tc>
        <w:tc>
          <w:tcPr>
            <w:tcW w:w="87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89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caps w:val="false"/>
                <w:smallCaps w:val="false"/>
              </w:rPr>
            </w:pPr>
            <w:r>
              <w:rPr>
                <w:caps w:val="false"/>
                <w:smallCaps w:val="false"/>
              </w:rPr>
              <w:t> </w:t>
            </w:r>
          </w:p>
        </w:tc>
        <w:tc>
          <w:tcPr>
            <w:tcW w:w="789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w:t>
            </w:r>
          </w:p>
        </w:tc>
        <w:tc>
          <w:tcPr>
            <w:tcW w:w="789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left"/>
              <w:rPr>
                <w:caps w:val="false"/>
                <w:smallCaps w:val="false"/>
              </w:rPr>
            </w:pPr>
            <w:r>
              <w:rPr>
                <w:caps w:val="false"/>
                <w:smallCaps w:val="false"/>
              </w:rPr>
              <w:t> </w:t>
            </w:r>
          </w:p>
        </w:tc>
        <w:tc>
          <w:tcPr>
            <w:tcW w:w="87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Signing Officer or Agent (if any):</w:t>
            </w:r>
          </w:p>
        </w:tc>
      </w:tr>
      <w:tr>
        <w:trPr/>
        <w:tc>
          <w:tcPr>
            <w:tcW w:w="1420"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caps w:val="false"/>
                <w:smallCaps w:val="false"/>
              </w:rPr>
            </w:pPr>
            <w:r>
              <w:rPr>
                <w:caps w:val="false"/>
                <w:smallCaps w:val="false"/>
              </w:rPr>
              <w:t> </w:t>
            </w:r>
          </w:p>
        </w:tc>
        <w:tc>
          <w:tcPr>
            <w:tcW w:w="789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caps w:val="false"/>
                <w:smallCaps w:val="false"/>
              </w:rPr>
            </w:pPr>
            <w:r>
              <w:rPr>
                <w:caps w:val="false"/>
                <w:smallCaps w:val="false"/>
              </w:rPr>
              <w:t> </w:t>
            </w:r>
          </w:p>
        </w:tc>
        <w:tc>
          <w:tcPr>
            <w:tcW w:w="789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89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caps w:val="false"/>
                <w:smallCaps w:val="false"/>
              </w:rPr>
            </w:pPr>
            <w:r>
              <w:rPr>
                <w:caps w:val="false"/>
                <w:smallCaps w:val="false"/>
              </w:rPr>
              <w:t> </w:t>
            </w:r>
          </w:p>
        </w:tc>
        <w:tc>
          <w:tcPr>
            <w:tcW w:w="789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caps w:val="false"/>
                <w:smallCaps w:val="false"/>
              </w:rPr>
            </w:pPr>
            <w:r>
              <w:rPr>
                <w:caps w:val="false"/>
                <w:smallCaps w:val="false"/>
              </w:rPr>
              <w:t> </w:t>
            </w:r>
          </w:p>
        </w:tc>
        <w:tc>
          <w:tcPr>
            <w:tcW w:w="789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20"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tc>
        <w:tc>
          <w:tcPr>
            <w:tcW w:w="7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signature should correspond exactly with the name on the face of the within Warrant,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0" w:name="ea030800701ex10-4.htm"/>
      <w:bookmarkStart w:id="31" w:name="ksea030800701ex104"/>
      <w:bookmarkEnd w:id="30"/>
      <w:bookmarkEnd w:id="31"/>
      <w:r>
        <w:rPr>
          <w:b/>
        </w:rPr>
        <w:t>Exhibit 10.4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AGREEMENT, dated as of October 5, 2026 (as amended, supplemented or otherwise modified from time to time in accordance with the provisions hereof,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by and among authID Inc., a Delaware corporation whose address is 1580 N. Logan St., Suite 660, Unit 51767 (the “</w:t>
      </w:r>
      <w:r>
        <w:rPr>
          <w:rFonts w:ascii="Times New Roman;Times;Serif" w:hAnsi="Times New Roman;Times;Serif"/>
          <w:b/>
          <w:i w:val="false"/>
          <w:caps w:val="false"/>
          <w:smallCaps w:val="false"/>
          <w:sz w:val="20"/>
        </w:rPr>
        <w:t>Grantor</w:t>
      </w:r>
      <w:r>
        <w:rPr>
          <w:rFonts w:ascii="Times New Roman;Times;Serif" w:hAnsi="Times New Roman;Times;Serif"/>
          <w:b w:val="false"/>
          <w:i w:val="false"/>
          <w:caps w:val="false"/>
          <w:smallCaps w:val="false"/>
          <w:sz w:val="20"/>
        </w:rPr>
        <w:t>”), in favor of [SECURED PARTY NAME], a [STATE OF ORGANIZATION] [ENTITY TYPE], whose address is [SECURED PARTY ADDRESS] (the “</w:t>
      </w:r>
      <w:r>
        <w:rPr>
          <w:rFonts w:ascii="Times New Roman;Times;Serif" w:hAnsi="Times New Roman;Times;Serif"/>
          <w:b/>
          <w:i w:val="false"/>
          <w:caps w:val="false"/>
          <w:smallCaps w:val="false"/>
          <w:sz w:val="20"/>
        </w:rPr>
        <w:t>Secured 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the Grantor has entered into Senior Secured Debentures, dated as of October 5, 2026 (as amended, supplemented or otherwise modified from time to time, the “</w:t>
      </w:r>
      <w:r>
        <w:rPr>
          <w:rFonts w:ascii="Times New Roman;Times;Serif" w:hAnsi="Times New Roman;Times;Serif"/>
          <w:b/>
          <w:i w:val="false"/>
          <w:caps w:val="false"/>
          <w:smallCaps w:val="false"/>
          <w:sz w:val="20"/>
        </w:rPr>
        <w:t>Loan Agreement</w:t>
      </w:r>
      <w:r>
        <w:rPr>
          <w:rFonts w:ascii="Times New Roman;Times;Serif" w:hAnsi="Times New Roman;Times;Serif"/>
          <w:b w:val="false"/>
          <w:i w:val="false"/>
          <w:caps w:val="false"/>
          <w:smallCaps w:val="false"/>
          <w:sz w:val="20"/>
        </w:rPr>
        <w:t>”), with the Secured Party and other secured parties, pursuant to which the Secured Party and other secured parties, subject to the terms and conditions contained therein, are to make certain loans to the Grantor (collectively the “October 2026 Loan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Grantor previously issued certain senior secured debentures dated April 29, 2026 as amended pursuant to the Backstop Commitment Agreement dated as of September 9, 2026 (in each case as amended, supplemented or otherwise modified from time to time, collectively, the “Existing Debentures”) to the holders thereof (the “</w:t>
      </w:r>
      <w:r>
        <w:rPr>
          <w:rFonts w:ascii="Times New Roman;Times;Serif" w:hAnsi="Times New Roman;Times;Serif"/>
          <w:b/>
          <w:i w:val="false"/>
          <w:caps w:val="false"/>
          <w:smallCaps w:val="false"/>
          <w:sz w:val="20"/>
        </w:rPr>
        <w:t>Existing Secured Parties</w:t>
      </w:r>
      <w:r>
        <w:rPr>
          <w:rFonts w:ascii="Times New Roman;Times;Serif" w:hAnsi="Times New Roman;Times;Serif"/>
          <w:b w:val="false"/>
          <w:i w:val="false"/>
          <w:caps w:val="false"/>
          <w:smallCaps w:val="false"/>
          <w:sz w:val="20"/>
        </w:rPr>
        <w:t>”), which Existing Debentures are secured by a security interest in the assets of the Grantor pursuant to one or more security agreements dated April 29, 2026 (as amended, supplemented or otherwise modified from time to time, the “Existing Security Agreements”);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under the terms of this Agreement, the Grantor desires to grant to the Secured Party a security interest in the Collateral, as defined herein, to secure any and all Secured Obligations, as defined herein, which security interest and Secured Obligations shall rank pari passu with the Existing Debentures and the October 2026 Loan Agreements and the security interests securing the Existing Debentures and the October 2026 Loan Agreements,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terms and conditions set forth herein, and for other good and valuable consideration, the receipt and sufficiency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DEFINITIONS. All capitalized terms used herein without definitions shall have the respective meanings set forth in the Loan Agreement. Unless otherwise defined herein, terms used herein that are defined in the Uniform Commercial Code as in effect from time to time in the State of New York (the “</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shall have the meanings assigned to them in the UCC. However, if a term is defined in Article 9 of the UCC differently than in another Article of the UCC, the term has the meaning specified in Article 9. As used herein, “Permitted Liens” means (i) the Pari Passu Liens (as defined in Section 6); (ii) liens for taxes, assessments or other governmental charges that are not yet delinquent or that are being contested in good faith by appropriate proceedings; (iii) statutory liens of landlords, carriers, warehousemen, mechanics, materialmen and other similar liens arising in the ordinary course of business and securing obligations that are not overdue; and (iv) purchase money security interests and liens of lessors under equipment leases, in each case securing obligations incurred in the ordinary course of business and not exceeding $100,000 in the aggregate at any time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GRANT OF SECURITY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value received, the Grantor hereby grants to the Secured Party, to secure the payment and performance in full of all of the Secured Obligations (as defined in Section 3 of this Agreement), a security interest in and pledges and assigns to the Secured Party the following properties, assets, and rights of the Grantor, wherever located, whether the Grantor now has or hereafter acquires an ownership or other interest or power to transfer, and all proceeds and products thereof, and all books and records relating thereto (all of the same being hereinafter called the “</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all personal and fixture property of every kind and nature including all goods (including inventory, equipment, and any accessions thereto), instruments (including promissory notes), documents (whether tangible or electronic), accounts (including health-care insurance receivables), chattel paper (whether tangible or electronic), money, deposit accounts, letters of credit, letter-of-credit rights (whether or not the letter of credit is evidenced by a writing), [commercial tort claims described on Schedule 1 hereof as supplemented by any written notification given by the Grantor to the Secured Party pursuant to Section 2(b)], securities and all other investment property, supporting obligations, and other contracts rights or rights to the payment of money, insurance claims and proceeds, tort claims, and all general intangibles (including all payment intangibles).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Grantor shall at any time hold or acquire a commercial tort claim, the Grantor shall immediately notify the Secured Party in writing of the details thereof and grant to the Secured Party in such writing, in form and substance satisfactory to the Secured Party, a security interest therein and in the proceeds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SECURED OBLIGATIONS. This Agreement secures the prompt and full performance and payment of all of the indebtedness, obligations, liabilities, and undertakings of the Grantor to the Secured Party, of any kind or description, individually or collectively, whether direct or indirect, joint or several, absolute or contingent, due or to become due, voluntary or involuntary, now existing or hereafter arising (including, all interest, reasonable and documented fees (including attorneys’ fees), costs, and expenses that the Grantor is hereby or otherwise required to pay and perform pursuant to the Loan Agreement, this Agreement, or any other Loan Document, by law or otherwise accruing before and after the filing of any petition in bankruptcy or the commencement of any insolvency, reorganization or like proceeding relating to the Grantor, whether or not a claim for post-petition interest, fees or expenses is allowed in such proceeding), irrespective of whether for the payment of money, under or in respect of the Loan Agreement, this Agreement, or any other Loan Document, including instruments or agreements executed and delivered pursuant thereto or in connection therewith (the “</w:t>
      </w:r>
      <w:r>
        <w:rPr>
          <w:rFonts w:ascii="Times New Roman;Times;Serif" w:hAnsi="Times New Roman;Times;Serif"/>
          <w:b/>
          <w:i w:val="false"/>
          <w:caps w:val="false"/>
          <w:smallCaps w:val="false"/>
          <w:sz w:val="20"/>
        </w:rPr>
        <w:t>Secured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CHANGES IN LOCATION OF COLLATERAL. The Grantor hereby agrees to notify the Secured Party, in writing or via electronic communication, immediately upon any change in the location of any Collateral and provide the Secured Party with the new location of such Collateral.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CHANGES IN GRANTOR. The Grantor hereby agrees to notify the Secured Party, in writing or via electronic communication, at least five (5) days before any of the following actions: (a) change in the location of the Grantor’s place of business; (b) change in the Grantor’s name; (c) change in the Grantor’s type of organization; (d) change in the Grantor’s jurisdiction of organization; and (e) change in the Grantor’s corporate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TRANSFER OF COLLATERAL. The Grantor shall not sell, offer to sell, assign, lease, license, or otherwise transfer, or grant, create, permit, or suffer to exist any option, security interest, lien, or other encumbrance in, any part of the Collateral (except for (i) sales or leases of inventory or licenses of general intangibles in the ordinary course of business and (ii) the security interests in favor of the Existing Secured Parties securing the Existing Debentures pursuant to the Existing Security Agreements and the security interests securing the October 2026 Loan Agreements (the “</w:t>
      </w:r>
      <w:r>
        <w:rPr>
          <w:rFonts w:ascii="Times New Roman;Times;Serif" w:hAnsi="Times New Roman;Times;Serif"/>
          <w:b/>
          <w:i w:val="false"/>
          <w:caps w:val="false"/>
          <w:smallCaps w:val="false"/>
          <w:sz w:val="20"/>
        </w:rPr>
        <w:t>Pari Passu Liens</w:t>
      </w:r>
      <w:r>
        <w:rPr>
          <w:rFonts w:ascii="Times New Roman;Times;Serif" w:hAnsi="Times New Roman;Times;Serif"/>
          <w:b w:val="false"/>
          <w:i w:val="false"/>
          <w:caps w:val="false"/>
          <w:smallCaps w:val="false"/>
          <w:sz w:val="20"/>
        </w:rPr>
        <w:t>”) and (iii) the other Permitted Liens), without prior written approval from the Secured Party (which approval shall not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GRANTOR REPRESENTATIONS AND WARRANTIES. The Grantor hereby represents, warrants, and covenants that: (a) the Grantor owns or has good and marketable title to the Collateral and no other person or organization can make any claim of ownership of any kind on the Collateral; (b) the Grantor has the full power, authority and legal right to grant the security interest in the Collateral; (c) the Collateral is free from any and all claims, encumbrances, rights of setoff or any other security interest or lien of any kind except for the security interest in favor of the Secured Party created by this Agreement and the Permitted Liens and (d) this Agreement creates in favor of the Secured Party a valid security interest in the Collateral, securing payment of the Secured Obligations, and such security interest is first priority, subject only to, and ranking pari passu with, the Pari Passu Liens. The Grantor will defend the Collateral against all claims and demands made by all persons claiming either the Collateral or any interest in it, other than the Existing Secured Parties and the parties to the October 2026 Loan Agreements with respect to the Pari Passu Liens and the holders of the other Permitted Liens.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GRANTOR COVENANTS AND INSURANCE. The Grantor hereby grants to the Secured Party the right to enter the Grantor’s property to inspect the Collateral at any reasonable time, provided that the Secured Party gives the Grantor notice within five (5) days of any inspection, however in no case shall notice be required if the Secured Party enters the Grantor’s property for the purposes of remedying a breach of this Agreement as provided in Section 10 of this Agreement. The Grantor agrees to: (a) maintain the Collateral in good order, repair, and condition at all times; (b) timely pay all taxes, judgments, levies, fees, or charges of any kind levied or assessed on the Collateral; (c) timely pay all rent or mortgage payments of any kind as applicable to any real property upon which any part of the Collateral is located; and (d) have and maintain at all times a hazard insurance policy on the Collateral underwritten by an insurance company, and in an amount, approved by the Secured Party, but in no way shall the amount of insurance be less than the replacement cost of the Collateral. The insurance procured in this Section shall contain a standard Lender’s Loss Payable Clause in favor of the Secured Party, and provide that the Secured Party will receive at least five (5) days notice of any cancellation of the policy. The Grantor hereby assigns to the Secured Party all rights to any proceeds of any insurance procured under this Section, and authorizes the Secured Party to receive such payments and execute any and all documents required to receive such payments provided that, so long as no Event of Default has occurred and is continuing, the Grantor shall be entitled to receive and retain all insurance proceeds for the purpose of repairing or replacing the affected Collateral. If the Grantor fails to provide for the insurance as set out in this Section, the Secured Party, in addition to any remedies as set out in Section 10 of this Agreement, may procure the requisite insurance on the Collateral on its own behalf and charge the Grantor with any and all reasonable costs of such procurement.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PERFECTION OF SECURITY INTEREST. The Grantor agrees that at any time and from time to time, at the expense of the Grantor, the Grantor will promptly execute and deliver all further instruments and documents, obtain such agreements from third parties, and take all further action, that may be necessary or desirable, or that the Secured Party may reasonably request, in order to create and/or maintain the validity, perfection or priority of and protect any security interest granted or purported to be granted hereby or to enable the Secured Party to exercise and enforce its rights and remedies hereunder or under any other agreement with respect to any Collateral. The Grantor hereby authorizes the Secured Party to file or record any document necessary to perfect, continue, amend, or terminate its security interest in the Collateral, including, but not limited to, any financing statements, including amendments, authorized to be filed under the UCC, without signature of the Grantor where permitted by law, including the filing of a financing statement describing the Collateral as all assets now owned or hereafter acquired by the Grantor, or words of similar effect. The Grantor also hereby ratifies any previously filed documents or recordings regarding the Collateral, including but not limited to, any and all previously filed financing statements. The Secured Party agrees to promptly file termination statements upon full satisfaction of the Secured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REMEDIES. If an Event of Default shall have occurred, be continuing and remain uncured after any applicable notice and cure period set forth in the Loan Agreement, the Secured Party may, subject to Section 16 of this Agreement, do any or all of the following: (a) declare all Secured Obligations immediately due and payable; (b) enter the Grantor’s property where the Collateral is located and take possession of the Collateral without demand or legal process; (c) require the Grantor to assemble and make available the Collateral at a specific time and place designated by the Secured Party; (d) sell, lease, or otherwise dispose of the Collateral at any public or private sale in accordance with the law; and (e) enforce payment of the Secured Obligations and exercise any rights and remedies available to the Secured Party under law, including, but not limited to, those rights and remedies available to the Secured Party under Article 9 of the UCC.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SECURED PARTY RIGHTS. Any and all rights of the Secured Party provided by this Agreement are in addition to any and all rights available to the Secured Party by law, and shall be cumulative and may be exercised simultaneously. No delay, omission, or failure on the part of the Secured Party to exercise or enforce any of its rights or remedies, either granted under this Agreement or by law, shall constitute an estoppel or waiver of such right or remedy or any other right or remedy. Any and all rights of the Secured Party provided by this Agreement shall inure to the benefit of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SEVERABILITY AND MODIFICATION. If any of the provisions in this Agreement is determined to be invalid, illegal, or unenforceable, such determination shall not affect the validity, legality, or enforceability of the other provisions in this Agreement. No waiver, modification or amendment of, or any other change to, this Agreement will be effective unless done so in a separate writing signed by the Secured Party and the Grantor.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NOTICES. Any notice or other communication required or permitted to be given under this Agreement, including, without limitation, notices under Section 4 and Section 5 of this Agreement, shall be given and shall become effective in accordance with the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ENTIRE AGREEMENT. This Agreement (including all documents referred to herein) represents the entire agreement between the Grantor and the Secured Party, and supersedes all previous understandings and agreements between the Grantor and the Secured Party, whether oral or written, regarding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JURISDICTION. This Agreement will be interpreted and construed according to the laws of the State of New York, including, but not limited to, the UCC, without regard to choice-of-law rules in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PARI PASSU RANKING. Notwithstanding anything to the contrary herein or in the Loan Agreement or any other Loan Document, the Secured Obligations and the security interest granted hereby shall rank pari passu in right and seniority of repayment and in lien priority with the obligations under the Existing Debentures, the October 2026 Loan Agreements and the Pari Passu Liens, regardless of the time, order or method of attachment or perfection, the time or order of filing of any financing statement, or any provision of the UCC or other applicable law. All payments made by the Grantor in respect of principal, interest and other amounts owing under the Loan Agreement, the other October 2026 Loan Agreements and the Existing Debentures, and all proceeds of any Collateral received upon the exercise of remedies or in any bankruptcy, insolvency or similar proceeding, shall be shared and applied ratably among the Secured Party, the other parties to the October 2026 Loan Agreements and the Existing Secured Parties in proportion to the respective outstanding amounts then owing to each of them. If the Secured Party receives any payment or proceeds in excess of its ratable share, it shall hold such excess in trust for, and promptly turn it over to, the Existing Secured Parties and the other parties to the October 2026 Loan Agreements, to the extent necessary to give effect to this Section. The Secured Party agrees to enter into such intercreditor or pari passu agreement with the Existing Secured Parties and the other parties to the October 2026 Loan Agreements as may be reasonably requested by the Grantor to give effect to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Grantor and Secured Party have executed this Security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967"/>
        <w:gridCol w:w="79"/>
        <w:gridCol w:w="1448"/>
      </w:tblGrid>
      <w:tr>
        <w:trPr/>
        <w:tc>
          <w:tcPr>
            <w:tcW w:w="2494" w:type="dxa"/>
            <w:gridSpan w:val="3"/>
            <w:tcBorders/>
            <w:vAlign w:val="center"/>
          </w:tcPr>
          <w:p>
            <w:pPr>
              <w:pStyle w:val="TableContents"/>
              <w:bidi w:val="0"/>
              <w:spacing w:before="0" w:after="283"/>
              <w:jc w:val="left"/>
              <w:rPr>
                <w:b/>
              </w:rPr>
            </w:pPr>
            <w:r>
              <w:rPr>
                <w:b/>
              </w:rPr>
              <w:t>GRANTOR</w:t>
            </w:r>
          </w:p>
        </w:tc>
      </w:tr>
      <w:tr>
        <w:trPr/>
        <w:tc>
          <w:tcPr>
            <w:tcW w:w="2494" w:type="dxa"/>
            <w:gridSpan w:val="3"/>
            <w:tcBorders/>
            <w:vAlign w:val="center"/>
          </w:tcPr>
          <w:p>
            <w:pPr>
              <w:pStyle w:val="TableContents"/>
              <w:bidi w:val="0"/>
              <w:spacing w:before="0" w:after="283"/>
              <w:jc w:val="left"/>
              <w:rPr/>
            </w:pPr>
            <w:r>
              <w:rPr/>
              <w:t> </w:t>
            </w:r>
          </w:p>
        </w:tc>
      </w:tr>
      <w:tr>
        <w:trPr/>
        <w:tc>
          <w:tcPr>
            <w:tcW w:w="2494" w:type="dxa"/>
            <w:gridSpan w:val="3"/>
            <w:tcBorders/>
            <w:vAlign w:val="center"/>
          </w:tcPr>
          <w:p>
            <w:pPr>
              <w:pStyle w:val="TableContents"/>
              <w:bidi w:val="0"/>
              <w:spacing w:before="0" w:after="283"/>
              <w:jc w:val="left"/>
              <w:rPr/>
            </w:pPr>
            <w:r>
              <w:rPr/>
              <w:t>authID Inc., as Grantor</w:t>
            </w:r>
          </w:p>
        </w:tc>
      </w:tr>
      <w:tr>
        <w:trPr/>
        <w:tc>
          <w:tcPr>
            <w:tcW w:w="2494" w:type="dxa"/>
            <w:gridSpan w:val="3"/>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pPr>
            <w:r>
              <w:rPr/>
              <w:t xml:space="preserve">By: </w:t>
            </w:r>
          </w:p>
        </w:tc>
        <w:tc>
          <w:tcPr>
            <w:tcW w:w="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448" w:type="dxa"/>
            <w:tcBorders/>
            <w:vAlign w:val="center"/>
          </w:tcPr>
          <w:p>
            <w:pPr>
              <w:pStyle w:val="TableContents"/>
              <w:bidi w:val="0"/>
              <w:spacing w:before="0" w:after="283"/>
              <w:jc w:val="left"/>
              <w:rPr/>
            </w:pPr>
            <w:r>
              <w:rPr/>
              <w:t>(Signature)</w:t>
            </w:r>
          </w:p>
        </w:tc>
      </w:tr>
      <w:tr>
        <w:trPr/>
        <w:tc>
          <w:tcPr>
            <w:tcW w:w="967" w:type="dxa"/>
            <w:tcBorders/>
            <w:vAlign w:val="center"/>
          </w:tcPr>
          <w:p>
            <w:pPr>
              <w:pStyle w:val="TableContents"/>
              <w:bidi w:val="0"/>
              <w:spacing w:before="0" w:after="283"/>
              <w:jc w:val="left"/>
              <w:rPr/>
            </w:pPr>
            <w:r>
              <w:rPr/>
              <w:t xml:space="preserve">Name: </w:t>
            </w:r>
          </w:p>
        </w:tc>
        <w:tc>
          <w:tcPr>
            <w:tcW w:w="1527" w:type="dxa"/>
            <w:gridSpan w:val="2"/>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pPr>
            <w:r>
              <w:rPr/>
              <w:t>Title:</w:t>
            </w:r>
          </w:p>
        </w:tc>
        <w:tc>
          <w:tcPr>
            <w:tcW w:w="1527" w:type="dxa"/>
            <w:gridSpan w:val="2"/>
            <w:tcBorders/>
            <w:vAlign w:val="center"/>
          </w:tcPr>
          <w:p>
            <w:pPr>
              <w:pStyle w:val="TableContents"/>
              <w:bidi w:val="0"/>
              <w:spacing w:before="0" w:after="283"/>
              <w:jc w:val="left"/>
              <w:rPr/>
            </w:pPr>
            <w:r>
              <w:rPr/>
              <w:t> </w:t>
            </w:r>
          </w:p>
        </w:tc>
      </w:tr>
      <w:tr>
        <w:trPr/>
        <w:tc>
          <w:tcPr>
            <w:tcW w:w="2494" w:type="dxa"/>
            <w:gridSpan w:val="3"/>
            <w:tcBorders/>
            <w:vAlign w:val="center"/>
          </w:tcPr>
          <w:p>
            <w:pPr>
              <w:pStyle w:val="TableContents"/>
              <w:bidi w:val="0"/>
              <w:spacing w:before="0" w:after="283"/>
              <w:jc w:val="left"/>
              <w:rPr/>
            </w:pPr>
            <w:r>
              <w:rPr/>
              <w:t> </w:t>
            </w:r>
          </w:p>
        </w:tc>
      </w:tr>
      <w:tr>
        <w:trPr/>
        <w:tc>
          <w:tcPr>
            <w:tcW w:w="2494" w:type="dxa"/>
            <w:gridSpan w:val="3"/>
            <w:tcBorders/>
            <w:vAlign w:val="center"/>
          </w:tcPr>
          <w:p>
            <w:pPr>
              <w:pStyle w:val="TableContents"/>
              <w:bidi w:val="0"/>
              <w:spacing w:before="0" w:after="283"/>
              <w:jc w:val="left"/>
              <w:rPr>
                <w:b/>
              </w:rPr>
            </w:pPr>
            <w:r>
              <w:rPr>
                <w:b/>
              </w:rPr>
              <w:t>SECURED PARTY</w:t>
            </w:r>
          </w:p>
        </w:tc>
      </w:tr>
      <w:tr>
        <w:trPr/>
        <w:tc>
          <w:tcPr>
            <w:tcW w:w="2494" w:type="dxa"/>
            <w:gridSpan w:val="3"/>
            <w:tcBorders/>
            <w:vAlign w:val="center"/>
          </w:tcPr>
          <w:p>
            <w:pPr>
              <w:pStyle w:val="TableContents"/>
              <w:bidi w:val="0"/>
              <w:spacing w:before="0" w:after="283"/>
              <w:jc w:val="left"/>
              <w:rPr/>
            </w:pPr>
            <w:r>
              <w:rPr/>
              <w:t> </w:t>
            </w:r>
          </w:p>
        </w:tc>
      </w:tr>
      <w:tr>
        <w:trPr/>
        <w:tc>
          <w:tcPr>
            <w:tcW w:w="2494" w:type="dxa"/>
            <w:gridSpan w:val="3"/>
            <w:tcBorders/>
            <w:vAlign w:val="center"/>
          </w:tcPr>
          <w:p>
            <w:pPr>
              <w:pStyle w:val="TableContents"/>
              <w:bidi w:val="0"/>
              <w:spacing w:before="0" w:after="283"/>
              <w:jc w:val="left"/>
              <w:rPr/>
            </w:pPr>
            <w:r>
              <w:rPr/>
              <w:t>[_____], as Secured Party</w:t>
            </w:r>
          </w:p>
        </w:tc>
      </w:tr>
      <w:tr>
        <w:trPr/>
        <w:tc>
          <w:tcPr>
            <w:tcW w:w="2494" w:type="dxa"/>
            <w:gridSpan w:val="3"/>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pPr>
            <w:r>
              <w:rPr/>
              <w:t xml:space="preserve">By: </w:t>
            </w:r>
          </w:p>
        </w:tc>
        <w:tc>
          <w:tcPr>
            <w:tcW w:w="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448" w:type="dxa"/>
            <w:tcBorders/>
            <w:vAlign w:val="center"/>
          </w:tcPr>
          <w:p>
            <w:pPr>
              <w:pStyle w:val="TableContents"/>
              <w:bidi w:val="0"/>
              <w:spacing w:before="0" w:after="283"/>
              <w:jc w:val="left"/>
              <w:rPr/>
            </w:pPr>
            <w:r>
              <w:rPr/>
              <w:t>(Signature)</w:t>
            </w:r>
          </w:p>
        </w:tc>
      </w:tr>
      <w:tr>
        <w:trPr/>
        <w:tc>
          <w:tcPr>
            <w:tcW w:w="967" w:type="dxa"/>
            <w:tcBorders/>
            <w:vAlign w:val="center"/>
          </w:tcPr>
          <w:p>
            <w:pPr>
              <w:pStyle w:val="TableContents"/>
              <w:bidi w:val="0"/>
              <w:spacing w:before="0" w:after="283"/>
              <w:jc w:val="left"/>
              <w:rPr/>
            </w:pPr>
            <w:r>
              <w:rPr/>
              <w:t>Name:</w:t>
            </w:r>
          </w:p>
        </w:tc>
        <w:tc>
          <w:tcPr>
            <w:tcW w:w="1527" w:type="dxa"/>
            <w:gridSpan w:val="2"/>
            <w:tcBorders/>
            <w:vAlign w:val="center"/>
          </w:tcPr>
          <w:p>
            <w:pPr>
              <w:pStyle w:val="TableContents"/>
              <w:bidi w:val="0"/>
              <w:spacing w:before="0" w:after="283"/>
              <w:jc w:val="left"/>
              <w:rPr/>
            </w:pPr>
            <w:r>
              <w:rPr/>
              <w:t> </w:t>
            </w:r>
          </w:p>
        </w:tc>
      </w:tr>
      <w:tr>
        <w:trPr/>
        <w:tc>
          <w:tcPr>
            <w:tcW w:w="967" w:type="dxa"/>
            <w:tcBorders/>
            <w:vAlign w:val="center"/>
          </w:tcPr>
          <w:p>
            <w:pPr>
              <w:pStyle w:val="TableContents"/>
              <w:bidi w:val="0"/>
              <w:spacing w:before="0" w:after="283"/>
              <w:jc w:val="left"/>
              <w:rPr/>
            </w:pPr>
            <w:r>
              <w:rPr/>
              <w:t>Title:</w:t>
            </w:r>
          </w:p>
        </w:tc>
        <w:tc>
          <w:tcPr>
            <w:tcW w:w="1527"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ea030800701ex10-5.htm"/>
      <w:bookmarkStart w:id="33" w:name="ksea030800701ex105"/>
      <w:bookmarkEnd w:id="32"/>
      <w:bookmarkEnd w:id="33"/>
      <w:r>
        <w:rPr>
          <w:rFonts w:ascii="Times New Roman;Times;Serif" w:hAnsi="Times New Roman;Times;Serif"/>
          <w:b/>
          <w:i w:val="false"/>
          <w:caps w:val="false"/>
          <w:smallCaps w:val="false"/>
          <w:sz w:val="20"/>
        </w:rPr>
        <w:t>Exhibit 10.5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effective as of October 5,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between authID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persons or entities who have executed the signature page(s) hereto (each,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conducting a bridge financing (the “</w:t>
      </w:r>
      <w:r>
        <w:rPr>
          <w:rFonts w:ascii="Times New Roman;Times;Serif" w:hAnsi="Times New Roman;Times;Serif"/>
          <w:b/>
          <w:i w:val="false"/>
          <w:caps w:val="false"/>
          <w:smallCaps w:val="false"/>
          <w:sz w:val="20"/>
        </w:rPr>
        <w:t>Bridge Financing</w:t>
      </w:r>
      <w:r>
        <w:rPr>
          <w:rFonts w:ascii="Times New Roman;Times;Serif" w:hAnsi="Times New Roman;Times;Serif"/>
          <w:b w:val="false"/>
          <w:i w:val="false"/>
          <w:caps w:val="false"/>
          <w:smallCaps w:val="false"/>
          <w:sz w:val="20"/>
        </w:rPr>
        <w:t>”) involving the private placement of Senior Secured Debentures (the “</w:t>
      </w:r>
      <w:r>
        <w:rPr>
          <w:rFonts w:ascii="Times New Roman;Times;Serif" w:hAnsi="Times New Roman;Times;Serif"/>
          <w:b/>
          <w:i w:val="false"/>
          <w:caps w:val="false"/>
          <w:smallCaps w:val="false"/>
          <w:sz w:val="20"/>
        </w:rPr>
        <w:t>Debentures</w:t>
      </w:r>
      <w:r>
        <w:rPr>
          <w:rFonts w:ascii="Times New Roman;Times;Serif" w:hAnsi="Times New Roman;Times;Serif"/>
          <w:b w:val="false"/>
          <w:i w:val="false"/>
          <w:caps w:val="false"/>
          <w:smallCaps w:val="false"/>
          <w:sz w:val="20"/>
        </w:rPr>
        <w:t>”) and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to accredited investors, for an aggregate principal amount of up to $1,350,000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Offering, the Company agreed to provide certain registration rights with respect to the shares of Common Stock issuable upon exercise of the Warrants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and the shares of common stock issuable upon conversion of the Debentures (the “Conversion Shares”), on the terms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representations, warranties, covenants, and conditions set forth herein, the parties mutually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As used in this Agreement, the following terms shall have the following respective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given it in the preamble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Allowed Delay</w:t>
      </w:r>
      <w:r>
        <w:rPr>
          <w:rFonts w:ascii="Times New Roman;Times;Serif" w:hAnsi="Times New Roman;Times;Serif"/>
          <w:b w:val="false"/>
          <w:i w:val="false"/>
          <w:caps w:val="false"/>
          <w:smallCaps w:val="false"/>
          <w:sz w:val="20"/>
        </w:rPr>
        <w:t>” has the meaning given it in Section 2(c)(2)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Market</w:t>
      </w:r>
      <w:r>
        <w:rPr>
          <w:rFonts w:ascii="Times New Roman;Times;Serif" w:hAnsi="Times New Roman;Times;Serif"/>
          <w:b w:val="false"/>
          <w:i w:val="false"/>
          <w:caps w:val="false"/>
          <w:smallCaps w:val="false"/>
          <w:sz w:val="20"/>
        </w:rPr>
        <w:t>” means the Over-the-Counter Bulletin Board, the OTC Markets, Nasdaq Stock Market, the New York Stock Exchange or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Blackout Period</w:t>
      </w:r>
      <w:r>
        <w:rPr>
          <w:rFonts w:ascii="Times New Roman;Times;Serif" w:hAnsi="Times New Roman;Times;Serif"/>
          <w:b w:val="false"/>
          <w:i w:val="false"/>
          <w:caps w:val="false"/>
          <w:smallCaps w:val="false"/>
          <w:sz w:val="20"/>
        </w:rPr>
        <w:t>” means, with respect to a registration, a period, in each case commencing on the day immediately after the Company notifies the Holders that they are required, because of the occurrence of an event of the kind described in Section 3(f) hereof, to suspend offers and sales of Registrable Securities during which the Company, in the good faith judgment of its board of directors, determines (because of the existence of, or in anticipation of, any acquisition, financing activity, or other transaction involving the Company, or the unavailability for reasons beyond the Company’s control of any required financial statements, disclosure of information which is in its best interest not to publicly disclose, or any other event or condition of similar significance to the Company) that the registration and distribution of the Registrable Securities to be covered by such Registration Statement, if any, would be seriously detrimental to the Company or its stockholders and ending on the earlier of (1) the date upon which the MNPI commencing the Blackout Period is disclosed to the public or ceases to be material and (2) such time as the Company notifies the selling Holders that the Company will no longer delay such filing of the Registration Statement, recommence taking steps to make such Registration Statement effective, or allow sales pursuant to such Registration Statement to resume.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 or any other applicable federal agency at the time administering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par value $0.0001 per share, of the Company and any and all shares of capital stock or other equity securities of: (i) the Company which are added to or exchanged or substituted for the Common Stock by reason of the declaration of any stock dividend or stock split, the issuance of any distribution or the reclassification, readjustment, recapitalization or other such modification of the capital structure of the Company; and (ii) any other corporation, now or hereafter organized under the laws of any state or other governmental authority, with which the Company is merged, which results from any consolidation or reorganization to which the Company is a party, or to which is sold all or substantially all of the shares or assets of the Company, if immediately after such merger, consolidation, reorganization or sale, the Company or the stockholders of the Company own equity securities having in the aggregate more than 50% of the total voting power of such other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given it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shall have the definition as set forth in the Securities Purchase Agreement entered between the Company and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Debentures</w:t>
      </w:r>
      <w:r>
        <w:rPr>
          <w:rFonts w:ascii="Times New Roman;Times;Serif" w:hAnsi="Times New Roman;Times;Serif"/>
          <w:b w:val="false"/>
          <w:i w:val="false"/>
          <w:caps w:val="false"/>
          <w:smallCaps w:val="false"/>
          <w:sz w:val="20"/>
        </w:rPr>
        <w:t>” means the Senior Secured Debenture issued by the Company to the Purchasers, dated October 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has the meaning given it in Section 9(e).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has the meaning given it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Effectiveness Period</w:t>
      </w:r>
      <w:r>
        <w:rPr>
          <w:rFonts w:ascii="Times New Roman;Times;Serif" w:hAnsi="Times New Roman;Times;Serif"/>
          <w:b w:val="false"/>
          <w:i w:val="false"/>
          <w:caps w:val="false"/>
          <w:smallCaps w:val="false"/>
          <w:sz w:val="20"/>
        </w:rPr>
        <w:t>” means, with respect to a Registration Statement, the period commencing on the date such Registration Statement is declared effective by the Commission and ending on the earlier of (i) the date on which all Registrable Securities covered thereby have been sold and (ii) the date on which all Registrable Securities covered thereby may be sold by the Holders without volume or manner-of-sale restrictions pursuant to Rule 144 and without the requirement for the Company to be in compliance with the current public information requirement under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 Purchaser or any permitted transferee or assignee thereof to whom a Purchaser assigns its rights under this Agreement and who agrees to become bound by the provisions of this Agreement in accordance with Section 6 and any transferee or assignee thereof to whom a transferee or assignee assigns its rights under this Agreement and who agrees to become bound by the provisions of this Agreement in accordance with Section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Legend Removal Certificate</w:t>
      </w:r>
      <w:r>
        <w:rPr>
          <w:rFonts w:ascii="Times New Roman;Times;Serif" w:hAnsi="Times New Roman;Times;Serif"/>
          <w:b w:val="false"/>
          <w:i w:val="false"/>
          <w:caps w:val="false"/>
          <w:smallCaps w:val="false"/>
          <w:sz w:val="20"/>
        </w:rPr>
        <w:t>” has the meaning given it in Section 3(l)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Legend Removal Shares</w:t>
      </w:r>
      <w:r>
        <w:rPr>
          <w:rFonts w:ascii="Times New Roman;Times;Serif" w:hAnsi="Times New Roman;Times;Serif"/>
          <w:b w:val="false"/>
          <w:i w:val="false"/>
          <w:caps w:val="false"/>
          <w:smallCaps w:val="false"/>
          <w:sz w:val="20"/>
        </w:rPr>
        <w:t>” has the meaning given it in Section 3(l)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Majority Holders</w:t>
      </w:r>
      <w:r>
        <w:rPr>
          <w:rFonts w:ascii="Times New Roman;Times;Serif" w:hAnsi="Times New Roman;Times;Serif"/>
          <w:b w:val="false"/>
          <w:i w:val="false"/>
          <w:caps w:val="false"/>
          <w:smallCaps w:val="false"/>
          <w:sz w:val="20"/>
        </w:rPr>
        <w:t>” means at any time holders of at least a majority of the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MNPI</w:t>
      </w:r>
      <w:r>
        <w:rPr>
          <w:rFonts w:ascii="Times New Roman;Times;Serif" w:hAnsi="Times New Roman;Times;Serif"/>
          <w:b w:val="false"/>
          <w:i w:val="false"/>
          <w:caps w:val="false"/>
          <w:smallCaps w:val="false"/>
          <w:sz w:val="20"/>
        </w:rPr>
        <w:t>” means material non-public information within the meaning of Regulation FD promulgated under the Exchange Act, which shall, in any case, include the receipt of the notice pursuant to Section 2(c) and the information contained in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means Madison Global Partners,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refer to a registration effected by preparing and filing a registration statement in compliance with the Securities Act, and the declaration or ordering of the effectiveness of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Registrable 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xml:space="preserve">” means (i) the Warrant Shares issuable upon exercise of the Warrants and Placement Agent Warrants, [(ii) the Conversion Shares, and (iii) any capital stock of the Company issued or issuable with respect to the Warrant Shares or Conversion Shares as a result of any stock split, stock dividend, recapitalization, exchange or similar event or otherwise, without regard to any limitations on exercise of the Warrants in each case subject to the Nasdaq limitation set forth in the Securities Purchase Agreement or the Debentures;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security shall cease to be a Registrable Security upon sale pursuant to the Registration Statement or Rule 144 or when it may be sold without volume or manner-of-sale restrictions pursuant to Rule 144 and without the requirement for the Company to be in compliance with the current public information requirement under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the registration statement that the Company is required to file pursuant to this Agreement to register the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Commission under the Securities Act, as such Rule may be amended from time to time, or any similar rule or regulation hereafter adopted by the SEC having substantially the same purpose and effect as such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415</w:t>
      </w:r>
      <w:r>
        <w:rPr>
          <w:rFonts w:ascii="Times New Roman;Times;Serif" w:hAnsi="Times New Roman;Times;Serif"/>
          <w:b w:val="false"/>
          <w:i w:val="false"/>
          <w:caps w:val="false"/>
          <w:smallCaps w:val="false"/>
          <w:sz w:val="20"/>
        </w:rPr>
        <w:t>” means Rule 415 promulgated by the Commission under the Securities Act, as such Rule may be amended from time to time, or any similar rule or regulation hereafter adopted by the SEC having substantially the same purpose and effect as such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or any similar federal statute promulgated in replacement thereof, and the rules and regulations of the Commission thereunder, all as the same shall be in effect at the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Days</w:t>
      </w:r>
      <w:r>
        <w:rPr>
          <w:rFonts w:ascii="Times New Roman;Times;Serif" w:hAnsi="Times New Roman;Times;Serif"/>
          <w:b w:val="false"/>
          <w:i w:val="false"/>
          <w:caps w:val="false"/>
          <w:smallCaps w:val="false"/>
          <w:sz w:val="20"/>
        </w:rPr>
        <w:t>” means a day on which the principal Trading Market is open for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the OTCQB or OTCQX (or any successors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Computershare N.A., the current transfer agent of the Company, with a mailing address of 150 Royall Street, Canton, MA 02021 and a telephone number of (877) 373-6374, and any successor transfer agent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has the meaning given it in the recitals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has the meaning given it in the recitals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Mandatory Registration.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sixty (60) days following the closing of the offering contemplated hereby, the Company shall prepare and file with the Securities and Exchange Commission a registration statement covering the resale of all Registrable Securities issued in connection with this offering, and shall use its commercially reasonable efforts to cause such registration statement to be declared effective within 75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Piggyback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include such Registrable Securities for resale, in the event the Company consummates a merger, reverse merger, business combination, recapitalization, reorganization, direct listing, or similar transaction, in any registration statement (including, without limitation, on Form S-1, Form S-4, Form F-4, Form S-3, or any successor or comparable form) filed by the Company in connection with or following such transaction to register securities for resale or issuance, (other than a prospectus supplement to the Company’s existing shelf registration statement on Form S-3, including in connection with the registered direct offering of Common Shares contemplated to be consummated on or about the Effective Date) and to cause such registration statement to be declared effective by the Securities and Exchange Commission using commercially reasonable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Allocation of Registrable Securities</w:t>
      </w:r>
      <w:r>
        <w:rPr>
          <w:rFonts w:ascii="Times New Roman;Times;Serif" w:hAnsi="Times New Roman;Times;Serif"/>
          <w:b w:val="false"/>
          <w:i w:val="false"/>
          <w:caps w:val="false"/>
          <w:smallCaps w:val="false"/>
          <w:sz w:val="20"/>
        </w:rPr>
        <w:t>. The initial number of Registrable Securities included in any Registration Statement and any increase in the number of Registrable Securities included therein shall be allocated pro rata among the Holders based on the number of Registrable Securities held by each Holder at the time the Registration Statement covering such initial number of Registrable Securities or increase thereof is declared effective by the SEC. In the event that a Holder sells or otherwise transfers any of such Holder’s Registrable Securities, each transferee shall be allocated a pro rata portion of the then remaining number of Registrable Securities included in such Registration Statement for such transferor. Any shares of Common Stock included in a Registration Statement and which remain allocated to any person or entity which ceases to hold any Registrable Securities covered by such Registration Statement shall be allocated to the remaining Holders, pro rata based on the number of Registrable Securities then held by such Holders which are covered by such Registration Statement. In no event shall the Company include any securities other than Registrable Securities on any Registration Statement without the prior written consent of the Majority Holders, other than shares of Common Stock held by or issuable to the holders of the Company’s senior secured debentures issued in April 2026 and pursuant to the Backstop Commitment Agreement dated as of September 9, 2026 (in each case as amended), the related warrants, fee shares and commitment fee warrants, and any other Person to whom the Company granted registration rights prior to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(1) if the Commission allows the Registration Statement to be declared effective at any time before or after the Effectiveness Date, subject to the withdrawal of certain Registrable Securities from the Registration Statement, and the reason is the Commission’s determination that (x) the offering of any of the Registrable Securities constitutes a primary offering of securities by the Company, (y) Rule 415 may not be relied upon for the registration of the resale of any or all of the Registrable Securities, and/or (z) a Holder of any Registrable Securities must be named as an underwriter, the Holders understand and agree the Company may reduce,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the total number of Registrable Securities to be registered on behalf of each such Holder. In any such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reduction, the number of Registrable Securities to be registered on such Registration Statement will be reduced on a pro rata basis based on the total number of unregistered Shares. The Holders acknowledge and agree the provisions of this paragraph may apply to more than one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not more than fifteen (15) consecutive days or for a total of not more than thirty (30) days in any twelve (12) month period, the Company may suspend the use of any prospectus included in any Registration Statement contemplated by this Section in the event that the Company determines in good faith that such suspension is necessary to (A) delay the disclosure of MNPI concerning the Company, the disclosure of which at the time is not, in the good faith opinion of the Company, in the best interests of the Company or (B) amend or supplement the affected Registration Statement or the related prospectus so that (i) such Registration Statement shall not include an untrue statement of a material fact or omit to state a material fact required to be stated therein or necessary to make the statements therein or (ii) such prospectus shall not include an untrue statement of a material fact or omit to state a material fact necessary in order to make the statements, in the light of the circumstances under which they were made, not misleading, including in connection with the filing of a post-effective amendment to such Registration Statement in connection with the Company’s filing of an Annual Report on Form 10-K for any fiscal year (an “</w:t>
      </w:r>
      <w:r>
        <w:rPr>
          <w:rFonts w:ascii="Times New Roman;Times;Serif" w:hAnsi="Times New Roman;Times;Serif"/>
          <w:b/>
          <w:i w:val="false"/>
          <w:caps w:val="false"/>
          <w:smallCaps w:val="false"/>
          <w:sz w:val="20"/>
        </w:rPr>
        <w:t>Allowed Delay</w:t>
      </w:r>
      <w:r>
        <w:rPr>
          <w:rFonts w:ascii="Times New Roman;Times;Serif" w:hAnsi="Times New Roman;Times;Serif"/>
          <w:b w:val="false"/>
          <w:i w:val="false"/>
          <w:caps w:val="false"/>
          <w:smallCaps w:val="false"/>
          <w:sz w:val="20"/>
        </w:rPr>
        <w:t>”); provided, that the Company shall promptly (a) notify each Holder in writing of the commencement of an Allowed Delay, but shall not (without the prior written consent of an Holder) disclose to such Holder any MNPI giving rise to an Allowed Delay, (b) advise the Holders in writing to cease all sales under the Registration Statement until the end of the Allowed Delay and (c) use commercially reasonable efforts to terminate an Allowed Delay as promptly as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Registration Procedures for Registrable Securities</w:t>
      </w:r>
      <w:r>
        <w:rPr>
          <w:rFonts w:ascii="Times New Roman;Times;Serif" w:hAnsi="Times New Roman;Times;Serif"/>
          <w:b w:val="false"/>
          <w:i w:val="false"/>
          <w:caps w:val="false"/>
          <w:smallCaps w:val="false"/>
          <w:sz w:val="20"/>
        </w:rPr>
        <w:t>. The Company will keep each Holder reasonably advised as to the filing and effectiveness of the Registration Statement. At its expense with respect to the Registration Statement, the Company 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prepare and file with the Commission with respect to the Registrable Securities, a Registration Statement on Form S-1, Form S-3, or any other form for which the Company then qualifies or which counsel for the Company shall deem appropriate and which form shall be available for the sale of the Registrable Securities in accordance with the intended methods of distribution thereof, and use its commercially reasonable efforts to cause such Registration Statement to become effective and shall remain effective during the Effectiveness Period. Thereafter, the Company shall be entitled to withdraw such Registration Statement and the Holders shall have no further right to offer or sell any of the Registrable Securities registered for resale thereon pursuant to the respective Registration Statement (or any prospectus relating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Registration Statement is subject to review by the Commission, respond in a commercially reasonable manner to all comments and diligently pursue resolution of any comments to the satisfaction of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prepare and file with the Commission such amendments and supplements to such Registration Statement as may be necessary to keep such Registration Statement effective during the Effectiveness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furnish, without charge, to each Holder of Registrable Securities covered by such Registration Statement (i) a reasonable number of copies of such Registration Statement (including any exhibits thereto other than exhibits incorporated by reference), each amendment and supplement thereto as such Holder may reasonably request, (ii) such number of copies of the prospectus included in such Registration Statement (including each preliminary prospectus and any other prospectus filed under Rule 424 of the Securities Act) as such Holders may reasonably request, in conformity with the requirements of the Securities Act, and (iii) such other documents as such Holder may require to consummate the disposition of the Registrable Securities owned by such Holder, but only during the Effectiveness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use its commercially reasonable efforts to register or qualify such registration under such other applicable securities laws of such jurisdictions as any Holder of Registrable Securities covered by such Registration Statement reasonably requests and as may be necessary for the marketability of the Registrable Securities (such request to be made by the time the applicable Registration Statement is deemed effective by the Commission) and do any and all other acts and things necessary to enable such Holder to consummate the disposition in such jurisdictions of the Registrable Securities owned by such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shall not be required to (i) qualify generally to do business in any jurisdiction where it would not otherwise be required to qualify but for this paragraph, (ii) subject itself to taxation in any such jurisdiction, or (iii) consent to general service of process in any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notify each Holder of Registrable Securities, the disposition of which requires delivery of a prospectus relating thereto under the Securities Act, of the happening of any event (as promptly as practicable after becoming aware of such event), which comes to the Company’s attention, that will after the occurrence of such event cause the prospectus included in such Registration Statement, if not amended or supplemented, to contain an untrue statement of a material fact or an omission to state a material fact necessary in order to make the statements therein, in the light of the circumstances under which they were made, not misleading, and the Company shall promptly thereafter prepare and furnish to such Holder a supplement or amendment to such prospectus (or prepare and file appropriate reports under the Exchange Act) so that, as thereafter delivered to the purchasers of such Registrable Securities, such prospectus shall not contain an untrue statement of a material fact or omit to state any material fact necessary in order to make the statements therein, in the light of the circumstances under which they were made, not misleading, unless suspension of the use of such prospectus otherwise is authorized herein or in the event of a Blackout Period, in which case no supplement or amendment need be furnished (or Exchange Act filing made) until the termination of such suspension or Blackout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comply, and continue to comply during the Effectiveness Period, in all material respects with the Securities Act and the Exchange Act and with all applicable rules and regulations of the Commission with respect to the disposition of all securities covered by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promptly as practicable after becoming aware of such event, notify each Holder of Registrable Securities being offered or sold pursuant to the Registration Statement of the issuance by the Commission of any stop order or other suspension of effectiveness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use its commercially reasonable efforts to cause all the Registrable Securities covered by the Registration Statement to be quoted on such Approved Market on which securities of the same class or series issued by the Company are then listed or quoted;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provide a transfer agent and registrar, which may be a single entity, for the shares of Common Stock registered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 cause its legal counsel, at the Company’s expense, (a) to, within the time frame set forth in that certain Securities Purchase Agreement, dated on even date herewith, between the Company and the Purchasers, issue to the Transfer Agent for the Common Stock, after the effective date of a Registration Statement, a “blanket” legal opinion in customary form to the effect that the Registrable Securities covered by the Registration Statement have been registered for resale under the Securities Act and, if such counsel has requested and received a signed certificate (a “</w:t>
      </w:r>
      <w:r>
        <w:rPr>
          <w:rFonts w:ascii="Times New Roman;Times;Serif" w:hAnsi="Times New Roman;Times;Serif"/>
          <w:b/>
          <w:i w:val="false"/>
          <w:caps w:val="false"/>
          <w:smallCaps w:val="false"/>
          <w:sz w:val="20"/>
        </w:rPr>
        <w:t>Legend Removal Certificate</w:t>
      </w:r>
      <w:r>
        <w:rPr>
          <w:rFonts w:ascii="Times New Roman;Times;Serif" w:hAnsi="Times New Roman;Times;Serif"/>
          <w:b w:val="false"/>
          <w:i w:val="false"/>
          <w:caps w:val="false"/>
          <w:smallCaps w:val="false"/>
          <w:sz w:val="20"/>
        </w:rPr>
        <w:t>”) from a Holder of the Registrable Securities, may then be reissued without any legend or restriction relating to their status as “restricted securities” as defined in Rule 144 (“</w:t>
      </w:r>
      <w:r>
        <w:rPr>
          <w:rFonts w:ascii="Times New Roman;Times;Serif" w:hAnsi="Times New Roman;Times;Serif"/>
          <w:b/>
          <w:i w:val="false"/>
          <w:caps w:val="false"/>
          <w:smallCaps w:val="false"/>
          <w:sz w:val="20"/>
        </w:rPr>
        <w:t>Legend Removal Shares</w:t>
      </w:r>
      <w:r>
        <w:rPr>
          <w:rFonts w:ascii="Times New Roman;Times;Serif" w:hAnsi="Times New Roman;Times;Serif"/>
          <w:b w:val="false"/>
          <w:i w:val="false"/>
          <w:caps w:val="false"/>
          <w:smallCaps w:val="false"/>
          <w:sz w:val="20"/>
        </w:rPr>
        <w:t>”) upon resale pursuant to such Registration Statement; and (b) promptly to amend such opinion to cause the Registrable Securities to be Legend Removal Shares after later receipt of a Legend Removal Certificate from the Holder, and (ii) cause the Transfer Agent for the Common Stock to issue such Registrable Securities without any such legend as promptly as practicable, but in no event later than three (3) Trading Days after the effective date of a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take all other reasonable actions necessary to expedite and facilitate the disposition by the Holders of the Registrable Securities pursuant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Suspension of Offers and Sales</w:t>
      </w:r>
      <w:r>
        <w:rPr>
          <w:rFonts w:ascii="Times New Roman;Times;Serif" w:hAnsi="Times New Roman;Times;Serif"/>
          <w:b w:val="false"/>
          <w:i w:val="false"/>
          <w:caps w:val="false"/>
          <w:smallCaps w:val="false"/>
          <w:sz w:val="20"/>
        </w:rPr>
        <w:t>. Each Holder agrees that, upon receipt of any notice from the Company of the happening of any event of the kind described in Section 3(f) hereof or of the commencement of a Blackout Period, such Holder shall discontinue the disposition of Registrable Securities included in the Registration Statement until such Holder’s receipt of the copies of the supplemented or amended prospectus contemplated by Section 3(f) hereof or notice of the end of the Blackout Period, and, if so directed by the Company, such Holder shall deliver to the Company (at the Company’s expense) all copies (including, without limitation, any and all drafts), other than permanent file copies, then in such Holder’s possession, of the prospectus covering such Registrable Securities current at the time of receipt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xml:space="preserve">. The Company shall pay all expenses in connection with any registration obligation provided herein, including, without limitation, all registration, filing, stock exchange fees, printing expenses, all fees and expenses of complying with applicable securities laws, and the fees and disbursements of counsel for the Company and of its independent accountants;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any registration, each party shall pay for its own underwriting discounts and commissions and transfer taxes. Except as provided in this Section 5 and Section 8, the Company shall not be responsible for the expenses of any attorney or other advisor employed by a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Assignment of Rights</w:t>
      </w:r>
      <w:r>
        <w:rPr>
          <w:rFonts w:ascii="Times New Roman;Times;Serif" w:hAnsi="Times New Roman;Times;Serif"/>
          <w:b w:val="false"/>
          <w:i w:val="false"/>
          <w:caps w:val="false"/>
          <w:smallCaps w:val="false"/>
          <w:sz w:val="20"/>
        </w:rPr>
        <w:t>. The rights under this Agreement shall be automatically assignable by the Holders to any transferee of all or any portion of such Holder’s Registrable Securities if: (i) the Holder agrees in writing with the transferee or assignee to assign such rights, and a copy of such agreement is furnished to the Company promptly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and (iii) immediately following such transfer or assignment the further disposition of such securities by the transferee or assignee is restricted under the Securities Act and applicable state securities laws; (iv) at or before the time the Company receives the written notice contemplated by clause (ii) of this sentence the transferee or assignee agrees in writing with the Company to be bound by all of the provisions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Information by Holder</w:t>
      </w:r>
      <w:r>
        <w:rPr>
          <w:rFonts w:ascii="Times New Roman;Times;Serif" w:hAnsi="Times New Roman;Times;Serif"/>
          <w:b w:val="false"/>
          <w:i w:val="false"/>
          <w:caps w:val="false"/>
          <w:smallCaps w:val="false"/>
          <w:sz w:val="20"/>
        </w:rPr>
        <w:t xml:space="preserve">. A Holder with Registrable Securities included in any registration shall furnish to the Company (and any managing underwriter(s), where applicable) such information regarding itself, the Registrable Securities held by it, the intended method of disposition of such securities, and such other information as shall be required in order to comply with any applicable law or regulation in connection with the registration of such Holder’s Registrable Securities or any qualification or compliance with respect to such Holder’s Registrable Securities and referred to in this Agreement. A form of Selling Stockholder Questionnaire is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of the offer and sale of Registrable Securities under the Securities Act, the Company shall, and hereby does, indemnify and hold harmless, to the fullest extent permitted by law, each Holder, its directors, officers, partners, each other person or entity who participates as an underwriter in the offering or sale of such securities, and each other person or entity, if any, who controls or is under common control with such Holder or any such underwriter within the meaning of Section 15 of the Securities Act, against any losses, claims, damages or liabilities, joint or several, and expenses to which the Holder or any such director, officer, partner or underwriter or controlling person may become subject under the Securities Act, the Exchange Act, or any other federal or state law, insofar as such losses, claims, damages, liabilities or expenses (or actions or proceedings, whether commenced or threatened, in respect thereof) arise out of or are based upon (1), in the case of any registration statement prepared and filed by the Company under which Registrable Securities were registered under the Securities Act, if such registration statement contained an untrue statement of a material fact or omitted to state a material fact required to be stated therein or necessary to make the statements therein not misleading or (2) in the case of any preliminary prospectus, final prospectus or summary prospectus contained in such registration statement, or any amendment or supplement thereto, if such preliminary prospectus, final prospectus or summary prospectus includes an untrue statement of a material fact or omits to state a material fact necessary in order to make the statements, in the light of the circumstances under which they were made, not misleading, or any violation by the Company of the Securities Act, the Exchange Act, any state securities law or any rule or regulation promulgated under the Securities Act, the Exchange Act or any state securities law in connection with this Agreement; and the Company shall reimburse the Holder, and each such director, officer, partner, underwriter and controlling person for any legal or any other expenses reasonably and actually incurred by them in connection with investigating, defending or settling any such loss, claim, damage, liability, action or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agreement found in this Section 8(a) shall in no event exceed the net proceeds from the Offering received by the Company;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Company shall not be liable in any such case (i) to the extent that any such loss, claim, damage, liability (or action or proceeding in respect thereof) or expense arises out of or is based upon an untrue statement in or omission from such registration statement, any such preliminary prospectus, final prospectus, summary prospectus, amendment or supplement in reliance upon and in conformity with written information furnished to the Company by the Holder specifically for use in the preparation thereof or (ii) if the person or entity asserting any such loss, claim, damage, liability (or action or proceeding in respect thereof) who purchased the Registrable Securities that are the subject thereof did not receive a copy of the preliminary prospectus or the final prospectus (or the final prospectus as amended or supplemented) at or prior to the written confirmation of the sale of such Registrable Securities to such person or entity because of the failure of such Holder or underwriter to so provide such preliminary or final prospectus and the untrue statement or omission of a material fact made in such preliminary prospectus was corrected in the amended preliminary or final prospectus (or the final prospectus as amended or supplemented). Such indemnity shall remain in full force and effect regardless of any investigation made by or on behalf of the Holders, or any such director, officer, partner, underwriter or controlling person and shall survive the transfer of such shares by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a condition to including Registrable Securities in any registration statement filed pursuant to this Agreement, each Holder agrees to be bound by the terms of this Section 8 and to indemnify and hold harmless, to the fullest extent permitted by law, the Company, its directors and officers, and each other person or entity, if any, who controls the Company within the meaning of Section 15 of the Securities Act, against any losses, claims, damages or liabilities, joint or several, to which the Company or any such director or officer or controlling person may become subject under the Securities Act, the Exchange Act, or any other federal or state law, to the extent arising out of or based solely upon: (x) such Holder’s failure to comply with the prospectus delivery requirements of the Securities Act or (y)(1), in the case of any registration statement prepared and filed by the Company under which Registrable Securities were registered under the Securities Act, if such registration statement contained an untrue statement of a material fact or omitted to state a material fact required to be stated therein or necessary to make the statements therein not misleading or (2) in the case of any preliminary prospectus, final prospectus or summary prospectus contained in such registration statement, or any amendment or supplement thereto, such preliminary prospectus, final prospectus or summary prospectus includes an untrue statement of a material fact or omits to state a material fact necessary in order to make the statements, in the light of the circumstances under which they were made, not misleading, (i) to the extent, but only to the extent, that such untrue statement or omission referred to in (y)(1) or (y)(2) above is contained in any information so furnished in writing by such Holder to the Company specifically for inclusion in the registration statement or such prospectus or (ii) to the extent that (1) such untrue statements or omissions referred to in (y)(1) or (y)(2) above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the Registration Statement, such prospectus or such form of prospectus or in any amendment or supplement thereto or (2) in the case of an occurrence of an event of the type specified in Section 3(f) hereof, the use by such Holder of an outdated or defective prospectus after the Company has notified such Holder in writing that the prospectus is outdated or defective and prior to the receipt by such Holder of the advice contemplated in Section 3(f). Each Holder’s obligation to indemnify shall be individual, not joint and several, and in no event shall the liability of any selling Holder hereunder, whether pursuant to indemnification, contribution or otherwise, be greater in amount than the dollar amount of the net proceeds received by such Holder upon the sale of the Registrable Securities giving rise to such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party of notice of the commencement of any action or proceeding involving a claim referred to in this Section (including any governmental action), such indemnified party shall, if a claim in respect thereof is to be made against an indemnifying party, give written notice to the indemnifying party of the commencement of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failure of any indemnified party to give notice as provided herein shall not relieve the indemnifying party of its obligations under this Section, except to the extent that the indemnifying party is actually prejudiced by such failure to give notice. In case any such action is brought against an indemnified party, the indemnifying party shall be entitled to participate in and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indemnified party in connection with the defense thereof, unless in such indemnified party’s reasonable judgment a conflict of interest between such indemnified and indemnifying parties arises in respect of such claim after the assumption of the defenses thereof or the indemnifying party fails to defend such claim in a diligent manner. If, in such indemnified party’s reasonable judgment a conflict of interest between such indemnified and indemnifying parties arises in respect of such claim after the assumption of the defenses thereof, the indemnified party (together with all other indemnified parties that may be represented without conflict by one counsel) shall have the right to retain one separate counsel, with the reasonable fees and expenses to be paid by the indemnifying party. No indemnifying party shall be liable for any settlement of any action or proceeding effected without its consent. No indemnifying party shall, without the consent of the indemnified party (which consent shall not be unreasonably withheld, conditioned or delayed), consent to entry of any judgment or enter into any settlement, unless such consent to entry of judgment or settlement includes as an unconditional term thereof the giving by the claimant or plaintiff to such indemnified party of a release from all liability in respect of such claim or litigation. Notwithstanding anything to the contrary set forth herein, and without limiting any of the rights set forth above, in any event any party shall have the right to retain, at its own expense, counsel with respect to the defense of a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 indemnifying party does or is not permitted to assume the defense of an action pursuant to Section 8(c) or in the case of the expense reimbursement obligation set forth in Sections 8(a) and (b), the indemnification required by Sections 8(a) and 8(b) shall be made by periodic payments of the amount thereof during the course of the investigation or defense, as and when bills received or expenses, losses, damages, or liabilities are incurred provided that the indemnifying party is provided appropriate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indemnification provided for in Section 8(a) or 8(b) is held by a court of competent jurisdiction to be unavailable to an indemnified party with respect to any loss, liability, claim, damage or expense referred to herein, the indemnifying party, in lieu of indemnifying such indemnified party hereunder, shall (i) contribute to the amount paid or payable by such indemnified party as a result of such loss, liability, claim, damage or expense as is appropriate to reflect the proportionate relative fault of the indemnifying party on the one hand and the indemnified party on the other (determined by reference to, among other things, whether the untrue or alleged untrue statement of a material fact or omission relates to information supplied by the indemnifying party or the indemnified party and the parties’ relative intent, knowledge, access to information and opportunity to correct or prevent such untrue statement or omission), or (ii) if the allocation provided by clause (i) above is not permitted by applicable law or provides a lesser sum to the indemnified party than the amount hereinafter calculated, not only the proportionate relative fault of the indemnifying party and the indemnified party, but also the relative benefits received by the indemnifying party on the one hand and the indemnified party on the other, as well as any other relevant equitable considerations. No indemnified party guilty of fraudulent misrepresentation (within the meaning of Section 11(f) of the Securities Act) shall be entitled to contribution from any indemnifying party who was not guilty of such fraudulent misrepresentation.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Disposition of Securities</w:t>
      </w:r>
      <w:r>
        <w:rPr>
          <w:rFonts w:ascii="Times New Roman;Times;Serif" w:hAnsi="Times New Roman;Times;Serif"/>
          <w:b w:val="false"/>
          <w:i w:val="false"/>
          <w:caps w:val="false"/>
          <w:smallCaps w:val="false"/>
          <w:sz w:val="20"/>
        </w:rPr>
        <w:t>. The Securities may only be disposed of in compliance with provincial, state and federal securities laws in the United States, as the case may be. In connection with any transfer of Securities (other than pursuant to an effective registration statement, or to an affiliate of such Purchaser or in connection with a pledge as contemplated in Section 9(c)), the Company may require the transferor thereof to provide to the Company, at the Company’s expense,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such Purchaser under this Agreement and the other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Each Purchaser agrees to the imprinting, so long as is required by this Section 9, of a legend on any of the Securities in the form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Legend Removal</w:t>
      </w:r>
      <w:r>
        <w:rPr>
          <w:rFonts w:ascii="Times New Roman;Times;Serif" w:hAnsi="Times New Roman;Times;Serif"/>
          <w:b w:val="false"/>
          <w:i w:val="false"/>
          <w:caps w:val="false"/>
          <w:smallCaps w:val="false"/>
          <w:sz w:val="20"/>
        </w:rPr>
        <w:t>. Book entry statements evidencing the Registrable Securities shall not contain any legend (“</w:t>
      </w:r>
      <w:r>
        <w:rPr>
          <w:rFonts w:ascii="Times New Roman;Times;Serif" w:hAnsi="Times New Roman;Times;Serif"/>
          <w:b/>
          <w:i w:val="false"/>
          <w:caps w:val="false"/>
          <w:smallCaps w:val="false"/>
          <w:sz w:val="20"/>
        </w:rPr>
        <w:t>Unlegended Shares</w:t>
      </w:r>
      <w:r>
        <w:rPr>
          <w:rFonts w:ascii="Times New Roman;Times;Serif" w:hAnsi="Times New Roman;Times;Serif"/>
          <w:b w:val="false"/>
          <w:i w:val="false"/>
          <w:caps w:val="false"/>
          <w:smallCaps w:val="false"/>
          <w:sz w:val="20"/>
        </w:rPr>
        <w:t>”) (including the legends set forth in Section 9(b) hereof): (i) required under the Securities Act while a registration statement covering the resale of such security is effective under the Securities Act, (ii) if such Underlying Shares are eligible for sale under Rule 144, without volume or manner-of-sale restrictions, or (iii) if such legend is not required under applicable requirements of the Securities Act (including judicial interpretations and pronouncements issued by the staff of any agency or Trading Market with regard to applicable law). The Company shall cause its counsel to issue a legal opinion to the Transfer Agent promptly after the Effective Date if required by the Transfer Agent to effect the removal of the legend hereunder. If the Shares are converted at a time when there is an effective registration statement to cover the resale of the Registrable Securities, or if such Registrable Securities may be sold under Rule 144 or if such legend is not otherwise required under applicable requirements of the Securities Act (including judicial interpretations and pronouncements issued by the staff of the Commission) then such Registrable Securities shall be issued free of all United States legends. The Company agrees that following such time as all such legends are no longer required under this Section 9(d), it will, no later than five (5) Trading Days following the delivery by such Purchaser to the Company or the Transfer Agent of a certificate representing Registrable Securities, as applicable, issued with a restrictive legend (such fifth (5th) Trading Day, the “</w:t>
      </w:r>
      <w:r>
        <w:rPr>
          <w:rFonts w:ascii="Times New Roman;Times;Serif" w:hAnsi="Times New Roman;Times;Serif"/>
          <w:b/>
          <w:i w:val="false"/>
          <w:caps w:val="false"/>
          <w:smallCaps w:val="false"/>
          <w:sz w:val="20"/>
        </w:rPr>
        <w:t>Legend Removal Date</w:t>
      </w:r>
      <w:r>
        <w:rPr>
          <w:rFonts w:ascii="Times New Roman;Times;Serif" w:hAnsi="Times New Roman;Times;Serif"/>
          <w:b w:val="false"/>
          <w:i w:val="false"/>
          <w:caps w:val="false"/>
          <w:smallCaps w:val="false"/>
          <w:sz w:val="20"/>
        </w:rPr>
        <w:t>”), deliver or cause to be delivered to such Purchaser a certificate representing such shares that is free from all restrictive and other legends (however, the Company shall use reasonable efforts to deliver such shares within two (2) Trading Days). The Company may not make any notation on its records or give instructions to the Transfer Agent that enlarge the restrictions on transfer set forth in this Section 9. Certificates for Registrable Securities subject to legend removal hereunder shall, if possible, be transmitted by the Transfer Agent to such Purchaser by crediting the account of such Purchaser’s prime broker with the Depository Trust Company System as directed by such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DWAC; DRS</w:t>
      </w:r>
      <w:r>
        <w:rPr>
          <w:rFonts w:ascii="Times New Roman;Times;Serif" w:hAnsi="Times New Roman;Times;Serif"/>
          <w:b w:val="false"/>
          <w:i w:val="false"/>
          <w:caps w:val="false"/>
          <w:smallCaps w:val="false"/>
          <w:sz w:val="20"/>
        </w:rPr>
        <w:t>. In lieu of delivering physical certificates representing the Unlegended Shares, upon request of such Purchaser, and so long as the certificates therefor do not bear a legend and such Purchaser is not obligated to return such certificate for the placement of a legend thereon, the Company shall cause its Transfer Agent to electronically transmit the Unlegended Shares by either (i) crediting the account of such Purchaser’s prime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through its Deposit Withdrawal At Custodian system, provided that the Common Stock is DTC eligible and the Company’s Transfer Agent participates in the Deposit Withdrawal at Custodian system, or (ii) crediting the account of such Purchaser’s prime broker via the Direct Registration System (“</w:t>
      </w:r>
      <w:r>
        <w:rPr>
          <w:rFonts w:ascii="Times New Roman;Times;Serif" w:hAnsi="Times New Roman;Times;Serif"/>
          <w:b/>
          <w:i w:val="false"/>
          <w:caps w:val="false"/>
          <w:smallCaps w:val="false"/>
          <w:sz w:val="20"/>
        </w:rPr>
        <w:t>DRS</w:t>
      </w:r>
      <w:r>
        <w:rPr>
          <w:rFonts w:ascii="Times New Roman;Times;Serif" w:hAnsi="Times New Roman;Times;Serif"/>
          <w:b w:val="false"/>
          <w:i w:val="false"/>
          <w:caps w:val="false"/>
          <w:smallCaps w:val="false"/>
          <w:sz w:val="20"/>
        </w:rPr>
        <w:t>”). In either case, such delivery must be made on or before the Legend Removal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Each Purchaser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9 is predicated upon the Company’s reliance upon this understanding.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 xml:space="preserve">INTENTIONALLY OMITTED.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With a view to making available to the Holders the benefits of SEC Rule 144 and any other rule or regulation of the SEC that may at any time permit the Holders to sell the Registrable Securities to the public without registration, the Company agrees to use commercially reasonable efforts: (i) to make and keep public information available as those terms are understood in SEC Rule 144, (ii) to file with the SEC in a timely manner all reports and other documents required to be filed by an issuer of securities registered under the Securities Act or the Exchange Act pursuant to SEC Rule 144, (iii) as long as any Holder owns any Registrable Securities, to furnish in writing upon such Holder’s request a written statement by the Company that it has complied with the reporting requirements of SEC Rule 144 and of the Securities Act and the Exchange Act, and to furnish to such Holder a copy of the most recent annual or quarterly report of the Company, and such other reports and documents so filed by the Company as may be reasonably requested in availing such Holder of any rule or regulation of the SEC permitting the selling of any such Registrable Securities without registration, (iv) with respect to the sale of any Registrable Securities by a Holder pursuant to SEC Rule 144 and subject to Holder providing necessary documentation to meet the requirements of such rule, to promptly furnish, without any charge to such Holder, a written legal opinion of its counsel to facilitate such sale and, if necessary, instruct its Transfer Agent in writing that it may rely on said written legal opinion of counsel with respect to said sale and (v) undertake any additional actions commercially necessary to maintain the availability of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Independent Nature of Each Purchaser’s Obligations and Rights</w:t>
      </w:r>
      <w:r>
        <w:rPr>
          <w:rFonts w:ascii="Times New Roman;Times;Serif" w:hAnsi="Times New Roman;Times;Serif"/>
          <w:b w:val="false"/>
          <w:i w:val="false"/>
          <w:caps w:val="false"/>
          <w:smallCaps w:val="false"/>
          <w:sz w:val="20"/>
        </w:rPr>
        <w:t>. The obligations of each Purchaser under this Agreement are several and not joint with the obligations of any other Purchaser, and each Purchaser shall not be responsible in any way for the performance of the obligations of any other Purchaser under this Agreement. Nothing contained herein and no action taken by any Purchaser pursuant hereto, shall be deemed to constitute such Purchasers as a partnership, an association, a joint venture, or any other kind of entity, or create a presumption that the Purchasers are in any way acting in concert or as a group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Except as otherwise provided herein, the provisions hereof shall inure to the benefit of, and be binding upon, the successors, permitted transferees and assignees, executors and administrators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The Company has not entered, as of the date hereof, and shall not enter, on or after the date of this Agreement, into any agreement with respect to its securities that would have the effect of impairing the rights granted to the Holders in this Agreement or otherwise conflicts with the provisions hereof. The Holders acknowledge the registration rights previously granted by the Company to the holders of the Company’s senior secured debentures issued in April 2026 and pursuant to the Backstop Commitment Agreement dated as of September 9, 2026 (and the related warrants, fee shares and commitment fee warrants), as disclosed in the Company’s SEC filings, and agree that such rights, and the registration of such holders’ securities together with the Registrable Securities, shall not be deemed inconsistent with or to impair the rights granted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full and entire understanding and agreement between the parties with regard to the subjects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 etc</w:t>
      </w:r>
      <w:r>
        <w:rPr>
          <w:rFonts w:ascii="Times New Roman;Times;Serif" w:hAnsi="Times New Roman;Times;Serif"/>
          <w:b w:val="false"/>
          <w:i w:val="false"/>
          <w:caps w:val="false"/>
          <w:smallCaps w:val="false"/>
          <w:sz w:val="20"/>
        </w:rPr>
        <w:t>. All notices or other communications which are required or permitted under this Agreement shall be in writing and sufficient if delivered by hand, by facsimile transmission, by registered or certified mail, postage pre-paid, by electronic mail, or by courier or overnight carrier, to the persons or entities at the addresses set forth below (or at such other address as may be provided hereunder), and shall be deemed to have been delivered as of the date so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 Logan St., Suite 660, Suite 51767</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 80222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(516)-274-8700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grahamarad@authid.ai</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Graham Arad, General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simultaneously transmitted by like means (which transmittal shall not constitute notice hereunder)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Fleming PLLC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Wall Street,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10005</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smf@flemingpllc.com</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Stephen M. Fleming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each Purchaser at the address set forth on the signature page hereto or at such other address as any party shall have furnished to the Company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Delays or Omissions</w:t>
      </w:r>
      <w:r>
        <w:rPr>
          <w:rFonts w:ascii="Times New Roman;Times;Serif" w:hAnsi="Times New Roman;Times;Serif"/>
          <w:b w:val="false"/>
          <w:i w:val="false"/>
          <w:caps w:val="false"/>
          <w:smallCaps w:val="false"/>
          <w:sz w:val="20"/>
        </w:rPr>
        <w:t>. No delay or omission to exercise any right, power or remedy accruing to any Holder, upon any breach or default of the Company under this Agreement, shall impair any such right, power or remedy of such Holder nor shall it be construed to be a waiver of any such breach or default, or an acquiescence therein, or of any similar breach or default thereunder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All remedies, either under this Agreement, or by law or otherwise afforded to any holder, shall be cumulative and not alternative.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enforceable against the parties actually executing such counterparts, and all of which together shall constitute one instrument. In the event that any signature is delivered by facsimile transmission or electronic transmission via .PDF file, such signature shall create a valid and binding obligation of the party executing (or on whose behalf such signature is executed) with the same force and effect as if such facsimile or electronic signature page were an original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case any provision of this Agreement shall be invalid, illegal or unenforceable, the validity, legality and enforceability of the remaining provisions shall not in any way be affected or impaired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 provisions of this Agreement may be amended at any time and from time to time, and particular provisions of this Agreement may be waived, with and only with an agreement or consent in writing signed by the Company and the Majority Holders; provided that no such amendment, action or omission that adversely affects, alters or changes the interests of any Holder in a manner disproportionate to the other Holders shall be effective against such adversely impacted Holder without the prior written consent of such Holder (such consent not to be unreasonably withheld, conditioned, or delayed). The Purchasers acknowledge that by the operation of this Section, the Majority Holders may have the right and power to diminish or eliminate all rights of the Holders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PAGES FOLLOW</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is hereby executed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75"/>
        <w:gridCol w:w="365"/>
        <w:gridCol w:w="650"/>
        <w:gridCol w:w="3035"/>
      </w:tblGrid>
      <w:tr>
        <w:trPr/>
        <w:tc>
          <w:tcPr>
            <w:tcW w:w="75" w:type="dxa"/>
            <w:tcBorders/>
            <w:vAlign w:val="center"/>
          </w:tcPr>
          <w:p>
            <w:pPr>
              <w:pStyle w:val="TableContents"/>
              <w:bidi w:val="0"/>
              <w:spacing w:before="0" w:after="283"/>
              <w:jc w:val="left"/>
              <w:rPr/>
            </w:pPr>
            <w:r>
              <w:rPr/>
              <w:t> </w:t>
            </w:r>
          </w:p>
        </w:tc>
        <w:tc>
          <w:tcPr>
            <w:tcW w:w="4050" w:type="dxa"/>
            <w:gridSpan w:val="3"/>
            <w:tcBorders/>
            <w:vAlign w:val="center"/>
          </w:tcPr>
          <w:p>
            <w:pPr>
              <w:pStyle w:val="TableContents"/>
              <w:bidi w:val="0"/>
              <w:spacing w:before="0" w:after="283"/>
              <w:jc w:val="left"/>
              <w:rPr/>
            </w:pPr>
            <w:r>
              <w:rPr>
                <w:b/>
              </w:rPr>
              <w:t>COMPANY:</w:t>
            </w:r>
            <w:r>
              <w:rPr/>
              <w:t> </w:t>
            </w:r>
          </w:p>
        </w:tc>
      </w:tr>
      <w:tr>
        <w:trPr/>
        <w:tc>
          <w:tcPr>
            <w:tcW w:w="75" w:type="dxa"/>
            <w:tcBorders/>
            <w:vAlign w:val="center"/>
          </w:tcPr>
          <w:p>
            <w:pPr>
              <w:pStyle w:val="TableContents"/>
              <w:bidi w:val="0"/>
              <w:spacing w:before="0" w:after="283"/>
              <w:jc w:val="left"/>
              <w:rPr/>
            </w:pPr>
            <w:r>
              <w:rPr/>
              <w:t> </w:t>
            </w:r>
          </w:p>
        </w:tc>
        <w:tc>
          <w:tcPr>
            <w:tcW w:w="405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50" w:type="dxa"/>
            <w:gridSpan w:val="3"/>
            <w:tcBorders/>
            <w:vAlign w:val="center"/>
          </w:tcPr>
          <w:p>
            <w:pPr>
              <w:pStyle w:val="TableContents"/>
              <w:bidi w:val="0"/>
              <w:spacing w:before="0" w:after="283"/>
              <w:jc w:val="left"/>
              <w:rPr>
                <w:b/>
              </w:rPr>
            </w:pPr>
            <w:r>
              <w:rPr>
                <w:b/>
              </w:rPr>
              <w:t xml:space="preserve">AUTHID INC.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68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035" w:type="dxa"/>
            <w:tcBorders/>
            <w:vAlign w:val="center"/>
          </w:tcPr>
          <w:p>
            <w:pPr>
              <w:pStyle w:val="TableContents"/>
              <w:bidi w:val="0"/>
              <w:spacing w:before="0" w:after="283"/>
              <w:jc w:val="left"/>
              <w:rPr/>
            </w:pPr>
            <w:r>
              <w:rPr/>
              <w:t>Thomas Szoke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035" w:type="dxa"/>
            <w:tcBorders/>
            <w:vAlign w:val="center"/>
          </w:tcPr>
          <w:p>
            <w:pPr>
              <w:pStyle w:val="TableContents"/>
              <w:bidi w:val="0"/>
              <w:spacing w:before="0" w:after="283"/>
              <w:jc w:val="left"/>
              <w:rPr/>
            </w:pPr>
            <w:r>
              <w:rPr/>
              <w:t>Interim Chief Executive Officer</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COMPANY 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is hereby executed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3394" w:type="dxa"/>
        <w:jc w:val="left"/>
        <w:tblInd w:w="0" w:type="dxa"/>
        <w:tblLayout w:type="fixed"/>
        <w:tblCellMar>
          <w:top w:w="0" w:type="dxa"/>
          <w:left w:w="0" w:type="dxa"/>
          <w:bottom w:w="0" w:type="dxa"/>
          <w:right w:w="0" w:type="dxa"/>
        </w:tblCellMar>
      </w:tblPr>
      <w:tblGrid>
        <w:gridCol w:w="75"/>
        <w:gridCol w:w="2945"/>
        <w:gridCol w:w="374"/>
      </w:tblGrid>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b/>
              </w:rPr>
            </w:pPr>
            <w:r>
              <w:rPr>
                <w:b/>
              </w:rPr>
              <w:t>PURCHASER:</w:t>
            </w:r>
          </w:p>
        </w:tc>
      </w:tr>
      <w:tr>
        <w:trPr/>
        <w:tc>
          <w:tcPr>
            <w:tcW w:w="7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1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19" w:type="dxa"/>
            <w:gridSpan w:val="2"/>
            <w:tcBorders/>
            <w:vAlign w:val="center"/>
          </w:tcPr>
          <w:p>
            <w:pPr>
              <w:pStyle w:val="TableContents"/>
              <w:bidi w:val="0"/>
              <w:spacing w:before="0" w:after="283"/>
              <w:jc w:val="left"/>
              <w:rPr/>
            </w:pPr>
            <w:r>
              <w:rPr/>
              <w:t>(Print or Type Name of Purchaser)</w:t>
            </w:r>
          </w:p>
        </w:tc>
      </w:tr>
      <w:tr>
        <w:trPr/>
        <w:tc>
          <w:tcPr>
            <w:tcW w:w="7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By:</w:t>
            </w:r>
          </w:p>
        </w:tc>
        <w:tc>
          <w:tcPr>
            <w:tcW w:w="37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xml:space="preserve">Name: </w:t>
            </w:r>
          </w:p>
        </w:tc>
        <w:tc>
          <w:tcPr>
            <w:tcW w:w="37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Title:</w:t>
            </w:r>
          </w:p>
        </w:tc>
        <w:tc>
          <w:tcPr>
            <w:tcW w:w="37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PURCHASER SIGNATURE PAGE TO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34" w:name="ea030800701ex10-6.htm"/>
      <w:bookmarkStart w:id="35" w:name="ksea030800701ex106"/>
      <w:bookmarkEnd w:id="34"/>
      <w:bookmarkEnd w:id="35"/>
      <w:r>
        <w:rPr>
          <w:b/>
        </w:rPr>
        <w:t>Exhibit 10.6</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NOTICE TO AND CONSENT OF HOLDERS OF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SENIOR SECURED DEBENTURES ISSUED AS OF APRIL 29, 2026</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BY AUTHID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 Backstop Commitment Agreement dated as of September 9, 2026 (the “Agreement”) between authID Inc. (the “Company”) and the Commitment Parties named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Debenture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that certain Senior Secured Debenture dated as of April 29, 2026, between you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the Company (as amended, restated, or otherwise modified from time to time in accordance with this Notice, the “</w:t>
      </w:r>
      <w:r>
        <w:rPr>
          <w:rFonts w:ascii="Times New Roman;Times;Serif" w:hAnsi="Times New Roman;Times;Serif"/>
          <w:b/>
          <w:i w:val="false"/>
          <w:caps w:val="false"/>
          <w:smallCaps w:val="false"/>
          <w:sz w:val="20"/>
        </w:rPr>
        <w:t>Debenture</w:t>
      </w:r>
      <w:r>
        <w:rPr>
          <w:rFonts w:ascii="Times New Roman;Times;Serif" w:hAnsi="Times New Roman;Times;Serif"/>
          <w:b w:val="false"/>
          <w:i w:val="false"/>
          <w:caps w:val="false"/>
          <w:smallCaps w:val="false"/>
          <w:sz w:val="20"/>
        </w:rPr>
        <w:t>”), pursuant to a Securities Purchase Agreement dated as of April 29, 2026 between Holder and the Company (as amended, restated, or otherwise modified from time to time in accordance with this Notice,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together with the related Security Agreement dated as of April 29, 2026 between Holder and the Company (as amended, restated, or otherwise modified from time to time in accordance with this Notice, the “</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together with a Warrant Agreement issued by the Company to the Holder as of April 29, 2026 (as amended, restated, or otherwise modified from time to time in accordance with this Notice,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and all such warrants issued as of April 29, 2026 are collectively referred to as the “</w:t>
      </w:r>
      <w:r>
        <w:rPr>
          <w:rFonts w:ascii="Times New Roman;Times;Serif" w:hAnsi="Times New Roman;Times;Serif"/>
          <w:b/>
          <w:i w:val="false"/>
          <w:caps w:val="false"/>
          <w:smallCaps w:val="false"/>
          <w:sz w:val="20"/>
        </w:rPr>
        <w:t>Existing Warrants</w:t>
      </w:r>
      <w:r>
        <w:rPr>
          <w:rFonts w:ascii="Times New Roman;Times;Serif" w:hAnsi="Times New Roman;Times;Serif"/>
          <w:b w:val="false"/>
          <w:i w:val="false"/>
          <w:caps w:val="false"/>
          <w:smallCaps w:val="false"/>
          <w:sz w:val="20"/>
        </w:rPr>
        <w:t>”) and other documents relating to the Debentures (collectively, the “</w:t>
      </w:r>
      <w:r>
        <w:rPr>
          <w:rFonts w:ascii="Times New Roman;Times;Serif" w:hAnsi="Times New Roman;Times;Serif"/>
          <w:b/>
          <w:i w:val="false"/>
          <w:caps w:val="false"/>
          <w:smallCaps w:val="false"/>
          <w:sz w:val="20"/>
        </w:rPr>
        <w:t>Debenture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refer to that certain Backstop Commitment Agreement dated as of September 15, 2026 between the Company and certain Debenture holders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Words and expressions defined in the Agreement or the Debenture Documents shall bear the same meaning herein unless separately defined in this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and Consent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is being provided pursuant to the terms of Sections 4.08 (Certain Subsequent Financings; Conversion/Exchange Feature) and 4.11 (Most Favored Nation) of the Securities Purchase Agreement and Section 3 of the Debenture (Optional Conversion) in order to give effect to the terms of the Agreement and to amend certain transaction documents previously entered into between the Holder and the Company, as described below. The Agreement is deemed to be the Subsequent Financing for all purposes under the Debenture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satisfaction of the Company’s obligations pursuant to the Debenture Documents with respect to a Subsequent Financing and in consideration of the mutual covenants and agreements herein contained and other good and valuable consideration, the receipt and sufficiency of which are hereby acknowledged, the parties agree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1122"/>
        <w:gridCol w:w="8870"/>
      </w:tblGrid>
      <w:tr>
        <w:trPr/>
        <w:tc>
          <w:tcPr>
            <w:tcW w:w="21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b/>
              </w:rPr>
            </w:pPr>
            <w:r>
              <w:rPr>
                <w:b/>
              </w:rPr>
              <w:t>1.</w:t>
            </w:r>
          </w:p>
        </w:tc>
        <w:tc>
          <w:tcPr>
            <w:tcW w:w="8870" w:type="dxa"/>
            <w:tcBorders/>
            <w:vAlign w:val="center"/>
          </w:tcPr>
          <w:p>
            <w:pPr>
              <w:pStyle w:val="TableContents"/>
              <w:bidi w:val="0"/>
              <w:spacing w:before="0" w:after="283"/>
              <w:jc w:val="both"/>
              <w:rPr>
                <w:b/>
              </w:rPr>
            </w:pPr>
            <w:r>
              <w:rPr>
                <w:b/>
              </w:rPr>
              <w:t>The Debenture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is hereby amended as follows:</w:t>
      </w:r>
    </w:p>
    <w:p>
      <w:pPr>
        <w:pStyle w:val="TextBody"/>
        <w:bidi w:val="0"/>
        <w:spacing w:before="0" w:after="0"/>
        <w:ind w:left="0" w:right="0" w:hanging="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290"/>
        <w:gridCol w:w="8435"/>
      </w:tblGrid>
      <w:tr>
        <w:trPr/>
        <w:tc>
          <w:tcPr>
            <w:tcW w:w="290" w:type="dxa"/>
            <w:tcBorders/>
            <w:vAlign w:val="center"/>
          </w:tcPr>
          <w:p>
            <w:pPr>
              <w:pStyle w:val="TableContents"/>
              <w:bidi w:val="0"/>
              <w:spacing w:before="0" w:after="283"/>
              <w:jc w:val="left"/>
              <w:rPr/>
            </w:pPr>
            <w:r>
              <w:rPr/>
              <w:t>(a)</w:t>
            </w:r>
          </w:p>
        </w:tc>
        <w:tc>
          <w:tcPr>
            <w:tcW w:w="8435" w:type="dxa"/>
            <w:tcBorders/>
            <w:vAlign w:val="center"/>
          </w:tcPr>
          <w:p>
            <w:pPr>
              <w:pStyle w:val="TableContents"/>
              <w:bidi w:val="0"/>
              <w:spacing w:before="0" w:after="283"/>
              <w:jc w:val="both"/>
              <w:rPr/>
            </w:pPr>
            <w:r>
              <w:rPr/>
              <w:t>Section 3 of the Debenture is hereby deleted in its entirety and replaced by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283"/>
              <w:jc w:val="both"/>
              <w:rPr/>
            </w:pPr>
            <w:r>
              <w:rPr>
                <w:u w:val="single"/>
              </w:rPr>
              <w:t>Optional Conversion</w:t>
            </w:r>
            <w:r>
              <w:rPr/>
              <w:t>. At any time until the Principal Amount plus any unpaid and accrued interest is paid in full, this Debenture shall be convertible at the option of the Holder, in whole or in part, at any time and from time to time into that number of Common Shares of the Company (“</w:t>
            </w:r>
            <w:r>
              <w:rPr>
                <w:b/>
              </w:rPr>
              <w:t>Conversion Shares</w:t>
            </w:r>
            <w:r>
              <w:rPr/>
              <w:t>”) as is determined in accordance with this Section.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283"/>
              <w:jc w:val="both"/>
              <w:rPr/>
            </w:pPr>
            <w:r>
              <w:rPr>
                <w:u w:val="single"/>
              </w:rPr>
              <w:t xml:space="preserve">Change of Control Transaction. </w:t>
            </w:r>
            <w:r>
              <w:rPr/>
              <w:t>In the event of a Change of Control Transaction prior to the conversion or the repayment of this Debenture, at the closing of such Change of Control, the Holder may elect that either: (i) the Company will pay the holder of such Debenture an amount equal to the Principal Amount plus any unpaid and accrued interest or (ii) such Debenture will convert into that number of Conversion Shares as is determined in accordance with this Section.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283"/>
              <w:jc w:val="both"/>
              <w:rPr/>
            </w:pPr>
            <w:r>
              <w:rPr>
                <w:u w:val="single"/>
              </w:rPr>
              <w:t>Notice of Conversion.</w:t>
            </w:r>
            <w:r>
              <w:rPr/>
              <w:t xml:space="preserve"> The Holder shall effect conversions by delivering to the Company a Notice of Conversion, the form of which is attached hereto as </w:t>
            </w:r>
            <w:r>
              <w:rPr>
                <w:u w:val="single"/>
              </w:rPr>
              <w:t>Annex A</w:t>
            </w:r>
            <w:r>
              <w:rPr/>
              <w:t xml:space="preserve"> (each, a “</w:t>
            </w:r>
            <w:r>
              <w:rPr>
                <w:b/>
              </w:rPr>
              <w:t>Notice of Conversion</w:t>
            </w:r>
            <w:r>
              <w:rPr/>
              <w:t>”), specifying therein the Principal Amount to be converted and the date on which such conversion shall be effected (the “</w:t>
            </w:r>
            <w:r>
              <w:rPr>
                <w:b/>
              </w:rPr>
              <w:t>Conversion Date</w:t>
            </w:r>
            <w:r>
              <w:rPr/>
              <w:t>”). If no Conversion Date is specified in a Notice of Conversion, the Conversion Date shall be the date that is two business days after such Notice of Conversion is deemed delivered hereunder.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283"/>
              <w:jc w:val="both"/>
              <w:rPr/>
            </w:pPr>
            <w:r>
              <w:rPr>
                <w:u w:val="single"/>
              </w:rPr>
              <w:t>Partial Conversion</w:t>
            </w:r>
            <w:r>
              <w:rPr/>
              <w:t>. Conversions hereunder shall have the effect of lowering the outstanding Principal Amount in an amount equal to the amount converted. The Company shall maintain records showing the Principal Amount(s) converted and the date of such conversion(s). The Company may deliver an objection to any Notice of Conversion within one (1) Business Day of delivery of such Notice of Conversion based on a discrepancy in the Principal Amount to be converted, or other invalidity of the Notice of Conversion. In the event of any dispute or discrepancy, the records of the Company shall be controlling and determinative in the absence of manifest error. The Holder, and any assignee by acceptance of this Debenture, acknowledge and agree that, by reason of the provisions of this paragraph, following conversion of a portion of this Debenture, the unpaid and unconverted Principal Amount may be less than the amount stated on the face hereof.</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(5)</w:t>
            </w:r>
          </w:p>
        </w:tc>
        <w:tc>
          <w:tcPr>
            <w:tcW w:w="9934" w:type="dxa"/>
            <w:tcBorders/>
            <w:vAlign w:val="center"/>
          </w:tcPr>
          <w:p>
            <w:pPr>
              <w:pStyle w:val="TableContents"/>
              <w:bidi w:val="0"/>
              <w:spacing w:before="0" w:after="283"/>
              <w:jc w:val="both"/>
              <w:rPr/>
            </w:pPr>
            <w:r>
              <w:rPr>
                <w:u w:val="single"/>
              </w:rPr>
              <w:t>Conversion Price</w:t>
            </w:r>
            <w:r>
              <w:rPr/>
              <w:t>. The conversion price in effect on any Conversion Date shall be equal to $0.38, subject to adjustment herein pursuant to Section 3(b)(7) (the “</w:t>
            </w:r>
            <w:r>
              <w:rPr>
                <w:b/>
              </w:rPr>
              <w:t>Conversion Price</w:t>
            </w: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305"/>
        <w:gridCol w:w="2525"/>
      </w:tblGrid>
      <w:tr>
        <w:trPr/>
        <w:tc>
          <w:tcPr>
            <w:tcW w:w="305" w:type="dxa"/>
            <w:tcBorders/>
            <w:vAlign w:val="center"/>
          </w:tcPr>
          <w:p>
            <w:pPr>
              <w:pStyle w:val="TableContents"/>
              <w:bidi w:val="0"/>
              <w:spacing w:before="0" w:after="283"/>
              <w:jc w:val="left"/>
              <w:rPr/>
            </w:pPr>
            <w:r>
              <w:rPr/>
              <w:t>(6)</w:t>
            </w:r>
          </w:p>
        </w:tc>
        <w:tc>
          <w:tcPr>
            <w:tcW w:w="2525" w:type="dxa"/>
            <w:tcBorders/>
            <w:vAlign w:val="center"/>
          </w:tcPr>
          <w:p>
            <w:pPr>
              <w:pStyle w:val="TableContents"/>
              <w:bidi w:val="0"/>
              <w:spacing w:before="0" w:after="283"/>
              <w:jc w:val="both"/>
              <w:rPr/>
            </w:pPr>
            <w:r>
              <w:rPr>
                <w:u w:val="single"/>
              </w:rPr>
              <w:t>Mechanics of Conversion</w:t>
            </w: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u w:val="single"/>
              </w:rPr>
              <w:t>Conversion Shares Issuable Upon Conversion of Principal Amount</w:t>
            </w:r>
            <w:r>
              <w:rPr/>
              <w:t>. The number of Conversion Shares issuable upon a conversion hereunder shall be determined by the quotient obtained by dividing (x) the aggregate of the outstanding Principal Amount, by (y) the Conversion Price. The Conversion Shares shall be duly authorized, validly issued, fully paid, and nonassessable upon issuance.</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u w:val="single"/>
              </w:rPr>
              <w:t>Surrender of Debenture</w:t>
            </w:r>
            <w:r>
              <w:rPr/>
              <w:t>. No ink-original Notice of Conversion shall be required, nor shall any medallion guarantee (or other type of guarantee or notarization) of any Notice of Conversion be required. To effect conversions hereunder, the Holder shall not be required to physically surrender this Debenture to the Company unless the entire Principal Amount has been so converted in which case the Holder shall surrender this Debenture as promptly as is reasonably practicable after such conversion without delaying the Company’s obligation to deliver the Conversion Shares on the Share Delivery Date.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u w:val="single"/>
              </w:rPr>
              <w:t>Delivery of Shares Upon Conversion</w:t>
            </w:r>
            <w:r>
              <w:rPr/>
              <w:t>. Not later than two (2) Trading Days after each Conversion Date (the “</w:t>
            </w:r>
            <w:r>
              <w:rPr>
                <w:b/>
              </w:rPr>
              <w:t>Share Delivery Date</w:t>
            </w:r>
            <w:r>
              <w:rPr/>
              <w:t>”), the Company shall deliver, or cause to be delivered, to the Holder a book entry statement representing the Conversion Shares. Provided, however, if Conversion Shares have been duly registered under an effective registration statement filed under the Securities Act, or if the Conversion Date is on or after the six month anniversary of the Original Issue Date and if the Conversion Shares or interest Shares shall be free of trading restrictions, the Company may deliver any Shares required to be delivered by the Company under this Section 3(b)(6) electronically through the Depository Trust Company, or another established clearing corporation performing similar functions.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u w:val="single"/>
              </w:rPr>
              <w:t>Failure to Deliver Shares</w:t>
            </w:r>
            <w:r>
              <w:rPr/>
              <w:t>. If, in the case of any Notice of Conversion or Company Notice of Conversion, such Shares are not delivered to or as directed by the Holder by the Share Delivery Date (provided the Holder gave accurate delivery instructions), the Holder shall be entitled to elect by written notice to the Company at any time on or before its receipt of such Shares, to rescind such Conversion, in which event the Company shall promptly return to the Holder any original Debenture delivered to the Company and the Holder shall promptly return to the Company any Shares issued to such Holder pursuant to the rescinded Conversion Notice but received by the Holder after such rescission.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u w:val="single"/>
              </w:rPr>
              <w:t>Fractional Shares</w:t>
            </w:r>
            <w:r>
              <w:rPr/>
              <w:t>. No fractional Shares or scrip representing fractional Shares shall be issued upon the conversion of this Debenture. As to any fraction of a Share which the Holder would otherwise be entitled to purchase upon such conversion, the Company shall at its election, either pay a cash adjustment in respect of such final fraction in an amount equal to such fraction multiplied by the Conversion Price or round up to the next whole Share.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3" w:type="dxa"/>
            <w:tcBorders/>
            <w:vAlign w:val="center"/>
          </w:tcPr>
          <w:p>
            <w:pPr>
              <w:pStyle w:val="TableContents"/>
              <w:bidi w:val="0"/>
              <w:spacing w:before="0" w:after="283"/>
              <w:jc w:val="both"/>
              <w:rPr/>
            </w:pPr>
            <w:r>
              <w:rPr>
                <w:u w:val="single"/>
              </w:rPr>
              <w:t>Transfer Taxes and Expenses</w:t>
            </w:r>
            <w:r>
              <w:rPr/>
              <w:t>. The issuance of Conversion Shares shall be made without charge to the Holder hereof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Conversion Shares upon conversion in a name other than that of the Holder of this Debenture so converted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9968" w:type="dxa"/>
            <w:tcBorders/>
            <w:vAlign w:val="center"/>
          </w:tcPr>
          <w:p>
            <w:pPr>
              <w:pStyle w:val="TableContents"/>
              <w:bidi w:val="0"/>
              <w:spacing w:before="0" w:after="283"/>
              <w:jc w:val="both"/>
              <w:rPr/>
            </w:pPr>
            <w:r>
              <w:rPr>
                <w:u w:val="single"/>
              </w:rPr>
              <w:t xml:space="preserve">Conversion Share Reserve. </w:t>
            </w:r>
            <w:r>
              <w:rPr/>
              <w:t>The Company covenants that it will at all times reserve and keep available out of its authorized and unissued Common Shares a reserve of shares equal to the number of Conversion Shares required for full conversion of the Principal Amount hereunder, free from preemptive rights or any other actual contingent purchase rights of persons other than the Holder.</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305"/>
        <w:gridCol w:w="2030"/>
      </w:tblGrid>
      <w:tr>
        <w:trPr/>
        <w:tc>
          <w:tcPr>
            <w:tcW w:w="305" w:type="dxa"/>
            <w:tcBorders/>
            <w:vAlign w:val="center"/>
          </w:tcPr>
          <w:p>
            <w:pPr>
              <w:pStyle w:val="TableContents"/>
              <w:bidi w:val="0"/>
              <w:spacing w:before="0" w:after="283"/>
              <w:jc w:val="left"/>
              <w:rPr/>
            </w:pPr>
            <w:r>
              <w:rPr/>
              <w:t>(7)</w:t>
            </w:r>
          </w:p>
        </w:tc>
        <w:tc>
          <w:tcPr>
            <w:tcW w:w="2030" w:type="dxa"/>
            <w:tcBorders/>
            <w:vAlign w:val="center"/>
          </w:tcPr>
          <w:p>
            <w:pPr>
              <w:pStyle w:val="TableContents"/>
              <w:bidi w:val="0"/>
              <w:spacing w:before="0" w:after="283"/>
              <w:jc w:val="both"/>
              <w:rPr/>
            </w:pPr>
            <w:r>
              <w:rPr>
                <w:u w:val="single"/>
              </w:rPr>
              <w:t>Certain Adjustments</w:t>
            </w:r>
            <w:r>
              <w:rPr/>
              <w:t>.</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u w:val="single"/>
              </w:rPr>
              <w:t>Stock Dividends and Stock Splits</w:t>
            </w:r>
            <w:r>
              <w:rPr/>
              <w:t>. If the Company, at any time while this Debenture is outstanding: (i) pays a stock dividend or otherwise makes a distribution or distributions payable in Shares, (ii) subdivides outstanding Shares into a larger number of Shares, (iii) combines (including by way of a reverse stock split) outstanding Shares into a smaller number of shares or (iv) issues, in the event of a reclassification of Shares, any shares of capital stock of the Company, then the Conversion Price shall be multiplied by a fraction of which the numerator shall be the number of Shares (excluding any treasury shares of the Company) outstanding immediately before such event, and of which the denominator shall be the number of Shares outstanding immediately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u w:val="single"/>
              </w:rPr>
              <w:t>Calculations</w:t>
            </w:r>
            <w:r>
              <w:rPr/>
              <w:t>. All calculations under this Section 3(7) shall be made to the nearest 1/100th of a cent or the nearest 1/100th of a share, as the case may be. For purposes of this Section 3(7), the number of Shares deemed to be issued and outstanding as of a given date shall be the sum of the number of Shares (excluding any treasury shares of the Company) issued and outstanding.</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u w:val="single"/>
              </w:rPr>
              <w:t>Notice to the Holder; Adjustment to Conversion Price</w:t>
            </w:r>
            <w:r>
              <w:rPr/>
              <w:t>. Whenever the Conversion Price is adjusted pursuant to any provision of this Section 3(7), the Company shall promptly deliver to each Holder a notice setting forth the Conversion Price after such adjustment and setting forth a brief statement of the facts requiring such adjustment.</w:t>
            </w:r>
          </w:p>
        </w:tc>
      </w:tr>
    </w:tbl>
    <w:p>
      <w:pPr>
        <w:pStyle w:val="TextBody"/>
        <w:bidi w:val="0"/>
        <w:spacing w:before="0" w:after="0"/>
        <w:ind w:left="72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283"/>
              <w:jc w:val="left"/>
              <w:rPr/>
            </w:pPr>
            <w:r>
              <w:rPr/>
              <w:t>(8)</w:t>
            </w:r>
          </w:p>
        </w:tc>
        <w:tc>
          <w:tcPr>
            <w:tcW w:w="3905" w:type="dxa"/>
            <w:tcBorders/>
            <w:vAlign w:val="center"/>
          </w:tcPr>
          <w:p>
            <w:pPr>
              <w:pStyle w:val="TableContents"/>
              <w:bidi w:val="0"/>
              <w:spacing w:before="0" w:after="283"/>
              <w:jc w:val="both"/>
              <w:rPr>
                <w:u w:val="single"/>
              </w:rPr>
            </w:pPr>
            <w:r>
              <w:rPr>
                <w:u w:val="single"/>
              </w:rPr>
              <w:t>NASDAQ Rules Ownership Limitations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For the avoidance of doubt, and in accordance with the terms of the Securities Purchase Agreement, the SSB’s and the Existing Warrants the aggregate of (a) any shares of Common Stock issuable pursuant to any security into which the SSB’s may be converted or exchanged and (b) any Fee Shares issued under the Securities Purchase Agreement and (c) any shares of Common Stock issuable under the Existing Warrants (d) any shares of Common Stock issuable pursuant to the Backstop Debentures and the Commitment Fee Warrants shall not exceed 19.99% of the number of shares of Common Stock outstanding immediately prior to the date of the Securities Purchase Agreement, without stockholder consent in accordance with Nasdaq Rules.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Notwithstanding anything in the Debenture to the contrary, in no event shall the Holder be entitled to convert a Principal Amount (or portions thereof) in excess of the Principal Amount (or portions thereof) upon conversion of which the sum of (i) the number of shares of Common Stock beneficially owned by the Holder and its affiliates (other than shares of Common Stock which may be deemed beneficially owned through the ownership of the unexercised Warrants and the unexercised or unconverted portion of any other securities of the Company subject to a limitation on conversion or exercise analogous to the limitation contained herein) and (ii) the number of Conversion Shares issuable upon conversion of the Principal Amount (or portions thereof) with respect to which the determination described herein is being made, would result in beneficial ownership by the Holder and its affiliates of more than 19.99% of the outstanding shares of Common Stock without stockholder consent in accordance with Nasdaq Rules. No Holder who is a director of the Company shall be able to convert any Principal Amount, nor have an adjustment of the exercise price under the Warrant without stockholder consent in accordance with Nasdaq Rules. For purposes of this paragraph, beneficial ownership shall be determined in accordance with Section 13(d) of the Securities Exchange Act of 1934.</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(b)</w:t>
            </w:r>
          </w:p>
        </w:tc>
        <w:tc>
          <w:tcPr>
            <w:tcW w:w="9963" w:type="dxa"/>
            <w:tcBorders/>
            <w:vAlign w:val="center"/>
          </w:tcPr>
          <w:p>
            <w:pPr>
              <w:pStyle w:val="TableContents"/>
              <w:bidi w:val="0"/>
              <w:spacing w:before="0" w:after="283"/>
              <w:jc w:val="both"/>
              <w:rPr/>
            </w:pPr>
            <w:r>
              <w:rPr/>
              <w:t>The Maturity Date under Section 1(a) of the Debentures is hereby extended to the earlier of (a) February 28, 2027; or (b) the closing of a Change of Control Transaction. For the avoidance of doubt, the execution by the Company of an agreement to provide for any event, which constitutes a Change of Control Transaction, as defined in Section 16(b) of the Debenture, shall not be an Event of Default under the Debenture, provided that in connection with such agreement it is envisaged that the Debenture will be repaid, or converted (at the Holder’s option) on closing thereof.</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(c)</w:t>
            </w:r>
          </w:p>
        </w:tc>
        <w:tc>
          <w:tcPr>
            <w:tcW w:w="9976" w:type="dxa"/>
            <w:tcBorders/>
            <w:vAlign w:val="center"/>
          </w:tcPr>
          <w:p>
            <w:pPr>
              <w:pStyle w:val="TableContents"/>
              <w:bidi w:val="0"/>
              <w:spacing w:before="0" w:after="283"/>
              <w:jc w:val="both"/>
              <w:rPr/>
            </w:pPr>
            <w:r>
              <w:rPr/>
              <w:t>The Holder acknowledges that the Company intends shortly to enter into securities purchase agreements (“SPA”) with certain investors to issue Convertible Secured Senior Debentures ranking pari passu with the Debenture in priority of payment and equity securities for the purpose of raising funds for working capital. Holder hereby consents to the Company entering into such SPA and waives any right to be repaid out of the net proceeds of such SPA upon closing of the SPA.</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523"/>
        <w:gridCol w:w="9583"/>
      </w:tblGrid>
      <w:tr>
        <w:trPr/>
        <w:tc>
          <w:tcPr>
            <w:tcW w:w="9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b/>
              </w:rPr>
            </w:pPr>
            <w:r>
              <w:rPr>
                <w:b/>
              </w:rPr>
              <w:t>2.</w:t>
            </w:r>
          </w:p>
        </w:tc>
        <w:tc>
          <w:tcPr>
            <w:tcW w:w="9583" w:type="dxa"/>
            <w:tcBorders/>
            <w:vAlign w:val="center"/>
          </w:tcPr>
          <w:p>
            <w:pPr>
              <w:pStyle w:val="TableContents"/>
              <w:bidi w:val="0"/>
              <w:spacing w:before="0" w:after="283"/>
              <w:jc w:val="both"/>
              <w:rPr>
                <w:b/>
              </w:rPr>
            </w:pPr>
            <w:r>
              <w:rPr>
                <w:b/>
              </w:rPr>
              <w:t>The Securities Purchase Agreement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is hereby amended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283"/>
              <w:jc w:val="both"/>
              <w:rPr/>
            </w:pPr>
            <w:r>
              <w:rPr/>
              <w:t>The Maximum Offering Amount is hereby increased to $5,000,000 and Section 2.01 is also amended accordingly.</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Sections 4.08 and 4.11 are hereby deleted as the Agreement represents the Subsequent Financing for the purposes of the Securities Purchase Agreement.</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865"/>
        <w:gridCol w:w="9176"/>
      </w:tblGrid>
      <w:tr>
        <w:trPr/>
        <w:tc>
          <w:tcPr>
            <w:tcW w:w="16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b/>
              </w:rPr>
            </w:pPr>
            <w:r>
              <w:rPr>
                <w:b/>
              </w:rPr>
              <w:t>3.</w:t>
            </w:r>
          </w:p>
        </w:tc>
        <w:tc>
          <w:tcPr>
            <w:tcW w:w="9176" w:type="dxa"/>
            <w:tcBorders/>
            <w:vAlign w:val="center"/>
          </w:tcPr>
          <w:p>
            <w:pPr>
              <w:pStyle w:val="TableContents"/>
              <w:bidi w:val="0"/>
              <w:spacing w:before="0" w:after="283"/>
              <w:jc w:val="both"/>
              <w:rPr>
                <w:b/>
              </w:rPr>
            </w:pPr>
            <w:r>
              <w:rPr>
                <w:b/>
              </w:rPr>
              <w:t>Warrant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issued by the Company to the Holder as of April 29, 2026 (“</w:t>
      </w:r>
      <w:r>
        <w:rPr>
          <w:rFonts w:ascii="Times New Roman;Times;Serif" w:hAnsi="Times New Roman;Times;Serif"/>
          <w:b/>
          <w:i w:val="false"/>
          <w:caps w:val="false"/>
          <w:smallCaps w:val="false"/>
          <w:sz w:val="20"/>
        </w:rPr>
        <w:t>Holder Warrant</w:t>
      </w:r>
      <w:r>
        <w:rPr>
          <w:rFonts w:ascii="Times New Roman;Times;Serif" w:hAnsi="Times New Roman;Times;Serif"/>
          <w:b w:val="false"/>
          <w:i w:val="false"/>
          <w:caps w:val="false"/>
          <w:smallCaps w:val="false"/>
          <w:sz w:val="20"/>
        </w:rPr>
        <w:t>”) shall be amended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The Exercise Price is hereby changed to $0.50. Provided that for any Holder who is a director of the Company such adjustment of the exercise price under the Warrant is subject to stockholder consent in accordance with Nasdaq Rules.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171"/>
        <w:gridCol w:w="8812"/>
      </w:tblGrid>
      <w:tr>
        <w:trPr/>
        <w:tc>
          <w:tcPr>
            <w:tcW w:w="22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b/>
              </w:rPr>
            </w:pPr>
            <w:r>
              <w:rPr>
                <w:b/>
              </w:rPr>
              <w:t>4.</w:t>
            </w:r>
          </w:p>
        </w:tc>
        <w:tc>
          <w:tcPr>
            <w:tcW w:w="8812" w:type="dxa"/>
            <w:tcBorders/>
            <w:vAlign w:val="center"/>
          </w:tcPr>
          <w:p>
            <w:pPr>
              <w:pStyle w:val="TableContents"/>
              <w:bidi w:val="0"/>
              <w:spacing w:before="0" w:after="283"/>
              <w:jc w:val="both"/>
              <w:rPr>
                <w:b/>
              </w:rPr>
            </w:pPr>
            <w:r>
              <w:rPr>
                <w:b/>
              </w:rPr>
              <w:t xml:space="preserve">Miscellaneous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Each amendment of a Debenture effected by this Notice is made pursuant to Section 15 of the Debentures and, upon execution and delivery of document reflecting the terms of this Notice by Debenture Holders holding fifty percent (50%) plus $1.00 of the aggregate outstanding principal amount of the Debentures, binds all Debenture Holders. Each amendment or waiver of the Securities Purchase Agreement effected by this Notice is made pursuant to Section 5.05 of the Securities Purchase Agreement and, upon execution and delivery of document reflecting the terms of this Notice by Debenture Holders holding fifty percent (50%) plus $1.00 of the aggregate outstanding principal amount of the Debentures including the Lead Investor, binds all Debenture Holders. In the event of any conflict between this Notice and any Debenture Document, this Notice will control.</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pPr>
            <w:r>
              <w:rPr>
                <w:u w:val="single"/>
              </w:rPr>
              <w:t>Governing Law</w:t>
            </w:r>
            <w:r>
              <w:rPr/>
              <w:t>. This Notice shall be governed by and construed in accordance with the laws of the State of New York, without giving effect to any choice or conflict of law provision or rule that would cause the application of the laws of any jurisdiction other than the State of New York.</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pPr>
            <w:r>
              <w:rPr/>
              <w:t>(c)</w:t>
            </w:r>
          </w:p>
        </w:tc>
        <w:tc>
          <w:tcPr>
            <w:tcW w:w="9974" w:type="dxa"/>
            <w:tcBorders/>
            <w:vAlign w:val="center"/>
          </w:tcPr>
          <w:p>
            <w:pPr>
              <w:pStyle w:val="TableContents"/>
              <w:bidi w:val="0"/>
              <w:spacing w:before="0" w:after="283"/>
              <w:jc w:val="both"/>
              <w:rPr/>
            </w:pPr>
            <w:r>
              <w:rPr>
                <w:u w:val="single"/>
              </w:rPr>
              <w:t>Jurisdiction; Venue</w:t>
            </w:r>
            <w:r>
              <w:rPr/>
              <w:t>. Each Party irrevocably submits to the exclusive jurisdiction of the courts of the State of New York sitting in the Borough of Manhattan (or, if such courts decline to accept jurisdiction, any federal court located in the Southern District of New York) for the purposes of any action, suit, or proceeding arising out of or relating to this Notice, and hereby waives, and agrees not to assert, any defense of inconvenient forum.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sign and return this Notice by way of confirmation of your acceptance and agreement to its terms.</w:t>
      </w:r>
    </w:p>
    <w:p>
      <w:pPr>
        <w:pStyle w:val="TextBody"/>
        <w:bidi w:val="0"/>
        <w:spacing w:before="0" w:after="0"/>
        <w:ind w:left="0" w:right="0" w:hanging="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365"/>
        <w:gridCol w:w="4175"/>
      </w:tblGrid>
      <w:tr>
        <w:trPr/>
        <w:tc>
          <w:tcPr>
            <w:tcW w:w="75"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pPr>
            <w:r>
              <w:rPr/>
              <w:t>Sincerely,</w:t>
            </w:r>
          </w:p>
        </w:tc>
      </w:tr>
      <w:tr>
        <w:trPr/>
        <w:tc>
          <w:tcPr>
            <w:tcW w:w="75"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pPr>
            <w:r>
              <w:rPr/>
              <w:t>authID Inc.</w:t>
            </w:r>
          </w:p>
        </w:tc>
      </w:tr>
      <w:tr>
        <w:trPr/>
        <w:tc>
          <w:tcPr>
            <w:tcW w:w="75"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175" w:type="dxa"/>
            <w:tcBorders>
              <w:bottom w:val="single" w:sz="12" w:space="0" w:color="000000"/>
            </w:tcBorders>
            <w:tcMar>
              <w:bottom w:w="28" w:type="dxa"/>
            </w:tcMar>
            <w:vAlign w:val="center"/>
          </w:tcPr>
          <w:p>
            <w:pPr>
              <w:pStyle w:val="TableContents"/>
              <w:bidi w:val="0"/>
              <w:spacing w:before="0" w:after="283"/>
              <w:jc w:val="left"/>
              <w:rPr/>
            </w:pPr>
            <w:r>
              <w:rPr/>
              <w:t>/s/ Thomas R. Szoke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Thomas R. Szoke,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AND CONSENTED TO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815"/>
        <w:gridCol w:w="60"/>
        <w:gridCol w:w="635"/>
        <w:gridCol w:w="75"/>
      </w:tblGrid>
      <w:tr>
        <w:trPr/>
        <w:tc>
          <w:tcPr>
            <w:tcW w:w="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1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shd w:fill="CCEEFF" w:val="clear"/>
            <w:vAlign w:val="center"/>
          </w:tcPr>
          <w:p>
            <w:pPr>
              <w:pStyle w:val="TableContents"/>
              <w:bidi w:val="0"/>
              <w:spacing w:before="0" w:after="283"/>
              <w:jc w:val="left"/>
              <w:rPr>
                <w:sz w:val="4"/>
                <w:szCs w:val="4"/>
              </w:rPr>
            </w:pPr>
            <w:r>
              <w:rPr>
                <w:sz w:val="4"/>
                <w:szCs w:val="4"/>
              </w:rPr>
            </w:r>
          </w:p>
        </w:tc>
      </w:tr>
      <w:tr>
        <w:trPr/>
        <w:tc>
          <w:tcPr>
            <w:tcW w:w="53" w:type="dxa"/>
            <w:tcBorders/>
            <w:shd w:fill="CCEEFF" w:val="clear"/>
            <w:vAlign w:val="center"/>
          </w:tcPr>
          <w:p>
            <w:pPr>
              <w:pStyle w:val="TableContents"/>
              <w:bidi w:val="0"/>
              <w:spacing w:before="0" w:after="283"/>
              <w:jc w:val="left"/>
              <w:rPr>
                <w:sz w:val="4"/>
                <w:szCs w:val="4"/>
              </w:rPr>
            </w:pPr>
            <w:r>
              <w:rPr>
                <w:sz w:val="4"/>
                <w:szCs w:val="4"/>
              </w:rPr>
            </w:r>
          </w:p>
        </w:tc>
      </w:tr>
      <w:tr>
        <w:trPr/>
        <w:tc>
          <w:tcPr>
            <w:tcW w:w="53" w:type="dxa"/>
            <w:tcBorders/>
            <w:shd w:fill="FFFFFF" w:val="clear"/>
            <w:vAlign w:val="center"/>
          </w:tcPr>
          <w:p>
            <w:pPr>
              <w:pStyle w:val="TableContents"/>
              <w:bidi w:val="0"/>
              <w:spacing w:before="0" w:after="283"/>
              <w:jc w:val="left"/>
              <w:rPr>
                <w:sz w:val="4"/>
                <w:szCs w:val="4"/>
              </w:rPr>
            </w:pPr>
            <w:r>
              <w:rPr>
                <w:sz w:val="4"/>
                <w:szCs w:val="4"/>
              </w:rPr>
            </w:r>
          </w:p>
        </w:tc>
      </w:tr>
      <w:tr>
        <w:trPr/>
        <w:tc>
          <w:tcPr>
            <w:tcW w:w="53"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principal under the Senior Secured Debenture dated April 29, 2026 as amended by a Notice dated September 15, 2026 (“</w:t>
      </w:r>
      <w:r>
        <w:rPr>
          <w:rFonts w:ascii="Times New Roman;Times;Serif" w:hAnsi="Times New Roman;Times;Serif"/>
          <w:b w:val="false"/>
          <w:i w:val="false"/>
          <w:caps w:val="false"/>
          <w:smallCaps w:val="false"/>
          <w:sz w:val="20"/>
          <w:u w:val="single"/>
        </w:rPr>
        <w:t>Debenture</w:t>
      </w:r>
      <w:r>
        <w:rPr>
          <w:rFonts w:ascii="Times New Roman;Times;Serif" w:hAnsi="Times New Roman;Times;Serif"/>
          <w:b w:val="false"/>
          <w:i w:val="false"/>
          <w:caps w:val="false"/>
          <w:smallCaps w:val="false"/>
          <w:sz w:val="20"/>
        </w:rPr>
        <w:t>”) issued by authID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into Shares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Company according to the conditions hereof, as of the date written below. If Shares are to be issued in the name of a person other than the undersigned, the undersigned will pay all transfer taxes payable with respect thereto and is delivering herewith such certificates and opinions as reasonably requested by the Company in accordance therewith. No fee will be charged to the holder for any conversion, except for such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delivery of this Notice of Conversion the undersigned represents and warrants to the Company that its ownership of the Common Stock does not exceed the amounts specified under Section 1a(8) of the aforementioned Notice, as determined in accordance with Section 13(d)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to comply with the prospectus delivery requirements under the applicable securities laws in connection with any transfer of the aforesaid Shares.</w:t>
      </w:r>
    </w:p>
    <w:p>
      <w:pPr>
        <w:pStyle w:val="TextBody"/>
        <w:bidi w:val="0"/>
        <w:spacing w:before="0" w:after="0"/>
        <w:ind w:left="0" w:right="0" w:hanging="0"/>
        <w:jc w:val="both"/>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75"/>
        <w:gridCol w:w="4655"/>
      </w:tblGrid>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Conversion calculations:</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Date to Effect Conversion:</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Principal Amount of Debenture to be Converted:</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Number of Shares to be issued:</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Signature: _______________________</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Address for recording of Book Entry issuance:</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u w:val="single"/>
              </w:rPr>
            </w:pPr>
            <w:r>
              <w:rPr>
                <w:u w:val="single"/>
              </w:rPr>
              <w:t>Or</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DWAC Instructions:</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Broker DTC No: _________________</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Broker Name: _________________</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Broker e-mail: _________________</w:t>
            </w:r>
          </w:p>
        </w:tc>
      </w:tr>
      <w:tr>
        <w:trPr/>
        <w:tc>
          <w:tcPr>
            <w:tcW w:w="7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Broker tel: ____________________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6" w:name="ea030800701ex10-7.htm"/>
      <w:bookmarkStart w:id="37" w:name="ksea030800701ex107"/>
      <w:bookmarkEnd w:id="36"/>
      <w:bookmarkEnd w:id="37"/>
      <w:r>
        <w:rPr>
          <w:rFonts w:ascii="Times New Roman;Times;Serif" w:hAnsi="Times New Roman;Times;Serif"/>
          <w:b/>
          <w:i w:val="false"/>
          <w:caps w:val="false"/>
          <w:smallCaps w:val="false"/>
          <w:sz w:val="20"/>
        </w:rPr>
        <w:t>Exhibit 10.7</w:t>
      </w:r>
      <w:r>
        <w:br w:type="page"/>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2026-____</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WARRANT NOR THE SHARES ISSUABLE UPON EXERCISE OF THE WARRANT HAVE BEEN REGISTERED UNDER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OR UNDER THE SECURITIES LAWS OF ANY STATES. THE WARRANT AND THE SHARES ISSUABLE UPON EXERCISE OF THE WARRANT ARE SUBJECT TO RESTRICTIONS ON TRANSFERABILITY AND RESALE AND MAY NOT BE TRANSFERRED OR RESOLD EXCEPT AS PERMITTED UNDER THE SECURITIES ACT AND THE APPLICABLE STATE SECURITIES LAWS. UNLESS SOLD PURSUANT TO AN EFFECTIVE REGISTRATION STATEMENT UNDER THE SECURITIES ACT, THE ISSUER OF THESE SECURITIES MAY REQUIRE AN OPINION OF COUNSEL IN FORM AND SUBSTANCE SATISFACTORY TO THE ISSUER TO THE EFFECT THAT REGISTRATION IS NOT REQUIRED UNDER THE SECURITIES ACT.</w:t>
      </w:r>
    </w:p>
    <w:p>
      <w:pPr>
        <w:pStyle w:val="TextBody"/>
        <w:bidi w:val="0"/>
        <w:spacing w:before="0" w:after="0"/>
        <w:ind w:left="792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Purchase</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 value $0.0001 per share</w:t>
            </w:r>
          </w:p>
        </w:tc>
      </w:tr>
    </w:tbl>
    <w:p>
      <w:pPr>
        <w:pStyle w:val="TextBody"/>
        <w:bidi w:val="0"/>
        <w:spacing w:before="0" w:after="0"/>
        <w:ind w:left="79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CERTIFIES THAT</w:t>
      </w:r>
      <w:r>
        <w:rPr>
          <w:rFonts w:ascii="Times New Roman;Times;Serif" w:hAnsi="Times New Roman;Times;Serif"/>
          <w:b w:val="false"/>
          <w:i w:val="false"/>
          <w:caps w:val="false"/>
          <w:smallCaps w:val="false"/>
          <w:sz w:val="20"/>
        </w:rPr>
        <w:t>, for value received, the person named below (the “Holder”) or its registered assigns, is entitled to purchase from </w:t>
      </w:r>
      <w:r>
        <w:rPr>
          <w:rFonts w:ascii="Times New Roman;Times;Serif" w:hAnsi="Times New Roman;Times;Serif"/>
          <w:b/>
          <w:i w:val="false"/>
          <w:caps w:val="false"/>
          <w:smallCaps w:val="false"/>
          <w:sz w:val="20"/>
        </w:rPr>
        <w:t>authID Inc.,</w:t>
      </w:r>
      <w:r>
        <w:rPr>
          <w:rFonts w:ascii="Times New Roman;Times;Serif" w:hAnsi="Times New Roman;Times;Serif"/>
          <w:b w:val="false"/>
          <w:i w:val="false"/>
          <w:caps w:val="false"/>
          <w:smallCaps w:val="false"/>
          <w:sz w:val="20"/>
        </w:rPr>
        <w:t> a Delaware corporation (the “Company”), at any time or from time to time during the period specified in Paragraph 2 hereof, the number of fully paid and nonassessable shares of the Company’s Common Stock, par value $0.0001 per share (the “Common Stock”), at an exercise price per share (the “Exercise Price”) each as are set forth in the Warrant details below.</w:t>
      </w:r>
    </w:p>
    <w:p>
      <w:pPr>
        <w:pStyle w:val="TextBody"/>
        <w:bidi w:val="0"/>
        <w:spacing w:before="0" w:after="0"/>
        <w:ind w:left="0" w:right="0" w:firstLine="720"/>
        <w:jc w:val="left"/>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75"/>
        <w:gridCol w:w="245"/>
        <w:gridCol w:w="2195"/>
        <w:gridCol w:w="251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Warrant Information.</w:t>
            </w:r>
          </w:p>
        </w:tc>
        <w:tc>
          <w:tcPr>
            <w:tcW w:w="25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of Warrant: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October 6, 2026</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Madison III, LLC</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 Address:</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350 Motor Parkway, Suite 205</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 </w:t>
            </w:r>
          </w:p>
        </w:tc>
        <w:tc>
          <w:tcPr>
            <w:tcW w:w="219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Hauppauge, NY, 11788</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Warrant Shares:</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Price:</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$0.50</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Expiration Date:</w:t>
            </w:r>
          </w:p>
        </w:tc>
        <w:tc>
          <w:tcPr>
            <w:tcW w:w="2510" w:type="dxa"/>
            <w:tcBorders/>
            <w:vAlign w:val="center"/>
          </w:tcPr>
          <w:p>
            <w:pPr>
              <w:pStyle w:val="TableContents"/>
              <w:bidi w:val="0"/>
              <w:spacing w:before="0" w:after="283"/>
              <w:jc w:val="both"/>
              <w:rPr/>
            </w:pPr>
            <w:r>
              <w:rPr/>
              <w:t> </w:t>
            </w:r>
            <w:r>
              <w:rPr>
                <w:rFonts w:ascii="Times New Roman;Times;Serif" w:hAnsi="Times New Roman;Times;Serif"/>
                <w:sz w:val="20"/>
              </w:rPr>
              <w:t>October 6, 2031</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“Warrant Shares,” as used herein, refers to the shares of Common Stock purchasable hereunder. The Warrant Shares and the Exercise Price are subject to adjustment as provided in Paragraph 4 hereof.</w:t>
      </w:r>
    </w:p>
    <w:p>
      <w:pPr>
        <w:pStyle w:val="TextBody"/>
        <w:bidi w:val="0"/>
        <w:spacing w:before="0" w:after="0"/>
        <w:ind w:left="0" w:right="0" w:firstLine="120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is subject to the following terms, provisions, and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Manner of Exercise; Issuance of Shares; Payment for Shares.</w:t>
      </w:r>
      <w:r>
        <w:rPr>
          <w:rFonts w:ascii="Times New Roman;Times;Serif" w:hAnsi="Times New Roman;Times;Serif"/>
          <w:b w:val="false"/>
          <w:i w:val="false"/>
          <w:caps w:val="false"/>
          <w:smallCaps w:val="false"/>
          <w:sz w:val="20"/>
        </w:rPr>
        <w:t>  </w:t>
      </w:r>
    </w:p>
    <w:p>
      <w:pPr>
        <w:pStyle w:val="TextBody"/>
        <w:bidi w:val="0"/>
        <w:spacing w:before="0" w:after="0"/>
        <w:ind w:left="72" w:right="0" w:firstLine="648"/>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Subject to the provisions hereof, this Warrant may be exercised by the Holder, in whole or in part, by the surrender of this Warrant, together with a completed notice of exercise in the form attached hereto (the “Notice of Exercise”), to the Company during normal business hours on any business day at the Company’s principal executive offices (or such other office or agency of the Company as it may designate by notice to the Holder), and upon payment to the Company in cash, by certified or official bank check or by wire transfer for the account of the Company of the Exercise Price for the Warrant Shares specified in the Notice of Exercise. The Warrant Shares so purchased shall be deemed to be issued to the Holder or such Holder’s designee, as the record owner of such Shares, as of the close of business on the date on which this Warrant shall have been surrendered, the completed Notice of Exercise shall have been delivered, and payment shall have been made for such Shares as set forth above. The Company will direct the Company’s Transfer Agent to issue to the Holder the Warrant Shares to which Holder is entitled within a reasonable time, not exceeding three (3) business days, after this Warrant shall have been so exercised. If this Warrant shall have been exercised only in part, then, unless this Warrant has expired, the Company shall, at its expense, at the time of delivery of such certificates or other evidence, deliver to the Holder a new Warrant representing the number of Warrant Shares with respect to which this Warrant shall not then have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at any time after the issuance the date of this Warrant, there is no Registration Statement effective and available for use by the Holder to resell the Warrant Shares immediately upon exercise of this Warrant, this Warrant may also be exercised in whole or in part by means of a “cashless” or net exercise, in the following manner. Under a cashless exercise the Holder shall be entitled to receive the number of Warrant Shares which is equal to the quotient obtained by dividing [(A-B) X (C)] by (A) where:</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of the Warrant Shares defined as the average of the last reported sale prices on the principal trading market for the Common Stock during the five (5) trading days immediately preceding such exercise date.</w:t>
            </w:r>
          </w:p>
        </w:tc>
      </w:tr>
    </w:tbl>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305"/>
        <w:gridCol w:w="350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hereunder (as adjusted).</w:t>
            </w:r>
          </w:p>
        </w:tc>
      </w:tr>
    </w:tbl>
    <w:p>
      <w:pPr>
        <w:pStyle w:val="TextBody"/>
        <w:bidi w:val="0"/>
        <w:spacing w:before="0" w:after="0"/>
        <w:ind w:left="1440" w:right="0" w:hanging="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305"/>
        <w:gridCol w:w="914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 =</w:t>
            </w:r>
          </w:p>
        </w:tc>
        <w:tc>
          <w:tcPr>
            <w:tcW w:w="9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Warrant Shares that the Holder wishes to exercise as set forth in the applicable Notice of Exercise.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All Warrant Shares will be issued in “Book Entry” form and no certificates will be issued, unless the Warrant Shares are then registered under the Securities Act, or if the Company receives a written opinion of counsel, which opinion and counsel are acceptable to the Company, to the effect that such Warrant Shares may be freely transferred without registration under said Act and under applicable state securities or blue sky laws, in which case they may be issued to the Holder by DWAC, upon Holder providing the necessary information. Unless the Warrant Shares are then so registered, the Warrant Shares will be “restricted securities” under applicable securities laws and pursuant to these laws, Holder must hold the Warrant Shares indefinitely unless they are registered with the SEC and qualified by state authorities, or an exemption from such registration and qualification requirements is available. Holder acknowledges that the Company has no obligation to register or qualify the Warrant Shares for resale.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Unless the Warrant Shares are then registered under the Securities Act, the Warrant Shares shall bear a legend substantially to the following effect (as well as any legends required by applicable state corporate law or federal or state securities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144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THESE SHARES HAVE NOT BEEN REGISTERED UNDER THE SECURITIES ACT OF 1933 (“THE ACT”) AND ARE “RESTRICTED SECURITIES” AS THAT TERM IS DEFINED IN RULE 144 UNDER THE ACT. THESE SHARES MAY NOT BE OFFERED FOR SALE, SOLD, TRANSFERRED, ASSIGNED, PLEDGED OR HYPOTHECATED EXCEPT (I) PURSUANT TO AN EFFECTIVE REGISTRATION STATEMENT UNDER THE ACT, OR (II) UNLESS THE ISSUER HAS RECEIVED AN OPINION OF COUNSEL SATISFACTORY TO IT THAT THESE SHARES MAY BE SOLD PURSUANT TO RULE 144 OR ANOTHER AVAILABLE EXEMPTION UNDER THE ACT AND THE RULES AND REGULATIONS THEREUNDER.”</w:t>
      </w:r>
    </w:p>
    <w:p>
      <w:pPr>
        <w:pStyle w:val="TextBody"/>
        <w:bidi w:val="0"/>
        <w:spacing w:before="0" w:after="0"/>
        <w:ind w:left="720" w:right="144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compliance with the restrictions referred to herein, the Company may issue appropriate “stop transfer” instructions to its transfer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Notwithstanding anything in this Warrant to the contrary, in no event shall the Holder be entitled to exercise a number of Warrants (or portions thereof) in excess of the number of Warrants (or portions thereof) upon exercise of which the sum of (i) the number of shares of Common Stock beneficially owned by the Holder and its affiliates (other than shares of Common Stock which may be deemed beneficially owned through the ownership of the unexercised Warrants and the unexercised or unconverted portion of any other securities of the Company subject to a limitation on conversion or exercise analogous to the limitation contained herein) and (ii) the number of shares of Common Stock issuable upon exercise of the Warrants (or portions thereof) with respect to which the determination described herein is being made, would result in beneficial ownership by the Holder and its affiliates of more than 4.99/9.99% of the outstanding shares of Common Stock. For purposes of the immediately preceding sentence, beneficial ownership shall be determined in accordance with Section 13(d) of the Securities Exchange Act of 1934, as amended, and Regulation 13D-G thereunder, except as otherwise provided in clause (i) of the preceding sentence. Notwithstanding anything to the contrary contained herein, the limitation on exercise of this Warrant set forth herein may not be amended without the written consent of the Holder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Period of Exercise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shall not be exercisable until the date that is six (6) months following the date on which this Warrant is issued and delivered (the “Initial Exercise Date”). From and after the Initial Exercise Date, this Warrant shall be exercisable, in whole or in part, at any time or from time to time, until 6:00 p.m., New York, New York time on the date set forth in paragraph (f) under “Warrant Details” above (the “Exercise Period”).</w:t>
      </w:r>
    </w:p>
    <w:p>
      <w:pPr>
        <w:pStyle w:val="TextBody"/>
        <w:bidi w:val="0"/>
        <w:spacing w:before="0" w:after="0"/>
        <w:ind w:left="72" w:right="0" w:firstLine="648"/>
        <w:jc w:val="both"/>
        <w:rPr>
          <w:caps w:val="false"/>
          <w:smallCaps w:val="false"/>
        </w:rPr>
      </w:pPr>
      <w:r>
        <w:rPr>
          <w:caps w:val="false"/>
          <w:smallCaps w:val="false"/>
        </w:rPr>
        <w:t> </w:t>
      </w:r>
    </w:p>
    <w:p>
      <w:pPr>
        <w:pStyle w:val="TextBody"/>
        <w:bidi w:val="0"/>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val="false"/>
          <w:smallCaps w:val="false"/>
          <w:sz w:val="20"/>
          <w:u w:val="single"/>
        </w:rPr>
        <w:t>Certain Agreements of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Company hereby covenants and agrees as follows:</w:t>
      </w:r>
    </w:p>
    <w:p>
      <w:pPr>
        <w:pStyle w:val="TextBody"/>
        <w:bidi w:val="0"/>
        <w:spacing w:before="0" w:after="0"/>
        <w:ind w:left="72" w:right="0" w:firstLine="64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val="false"/>
          <w:caps w:val="false"/>
          <w:smallCaps w:val="false"/>
          <w:sz w:val="20"/>
          <w:u w:val="single"/>
        </w:rPr>
        <w:t>Shares to be Fully Paid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All Warrant Shares will, upon issuance in accordance with the terms of this Warrant, be validly issued, fully paid, and nonassessable and free from all taxes, liens, and charges with respect to the issue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val="false"/>
          <w:caps w:val="false"/>
          <w:smallCaps w:val="false"/>
          <w:sz w:val="20"/>
          <w:u w:val="single"/>
        </w:rPr>
        <w:t>Reservation of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During the Exercise Period, the Company shall at all times have authorized, and reserved for the purpose of issuance upon exercise of this Warrant, a sufficient number of shares of Common Stock to provide for the exercise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will be binding upon any entity succeeding to the Company by merger, consolidation, or acquisition of all or substantially all the Company’s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Nasdaq Compliance. </w:t>
      </w:r>
      <w:r>
        <w:rPr>
          <w:rFonts w:ascii="Times New Roman;Times;Serif" w:hAnsi="Times New Roman;Times;Serif"/>
          <w:b w:val="false"/>
          <w:i w:val="false"/>
          <w:caps w:val="false"/>
          <w:smallCaps w:val="false"/>
          <w:sz w:val="20"/>
        </w:rPr>
        <w:t>The Company shall ensure that the issuance of Warrant Shares upon exercise complies with Nasdaq Listing Rule 5635, including the 19.99% limitation on issuances without stockholder approval unless otherwise permitted.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val="false"/>
          <w:smallCaps w:val="false"/>
          <w:sz w:val="20"/>
          <w:u w:val="single"/>
        </w:rPr>
        <w:t>Adjustment Provisions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During the Exercise Period, the Exercise Price and the number of Warrant Shares shall be subject to adjustment from time to time as provided in this Paragraph 4. In the event that any adjustment of the Exercise Price as required herein results in a fraction of a cent, such Exercise Price shall be rounded up to the nearest cent.</w:t>
      </w:r>
    </w:p>
    <w:p>
      <w:pPr>
        <w:pStyle w:val="TextBody"/>
        <w:bidi w:val="0"/>
        <w:spacing w:before="0" w:after="0"/>
        <w:ind w:left="72" w:right="0" w:firstLine="648"/>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val="false"/>
          <w:caps w:val="false"/>
          <w:smallCaps w:val="false"/>
          <w:sz w:val="20"/>
          <w:u w:val="single"/>
        </w:rPr>
        <w:t>Subdivision or Combination of Common Stock</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If the Company at any time subdivides (by any stock split, stock dividend, recapitalization, reorganization, reclassification or otherwise) the shares of Common Stock acquirable hereunder into a greater number of shares, then, after the date of record for effecting such subdivision, the Exercise Price in effect immediately prior to such subdivision will be proportionately reduced. If the Company at any time combines (by reverse stock split, recapitalization, reorganization, reclassification or otherwise) the shares of Common Stock acquirable hereunder into a smaller number of shares, then, after the date of record for effecting such combination, the Exercise Price in effect immediately prior to such combination will be proportionately increased.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val="false"/>
          <w:caps w:val="false"/>
          <w:smallCaps w:val="false"/>
          <w:sz w:val="20"/>
          <w:u w:val="single"/>
        </w:rPr>
        <w:t>Adjustment in Number of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Upon each adjustment of the Exercise Price pursuant to the provisions of this Paragraph 4(a), the number of shares of Common Stock issuable upon exercise of this Warrant shall be adjusted by multiplying a number equal to the Exercise Price in effect immediately prior to such adjustment by the number of shares of Common Stock issuable upon exercise of this Warrant immediately prior to such adjustment and dividing the product so obtained by the adjusted Exercise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Consolidation, Merger or Sale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In case of any consolidation of the Company with, or merger of the Company into any other corporation, or in case of any sale or conveyance of all or substantially all of the assets of the Company other than in connection with a plan of complete liquidation of the Company, then as a condition of such consolidation, merger or sale or conveyance, adequate provision will be made whereby the Holder will have the right to acquire and receive upon exercise of this Warrant in lieu of the shares of Common Stock immediately theretofore acquirable upon the exercise of this Warrant, such shares of stock, securities or assets as may be issued or payable with respect to or in exchange for the number of shares of Common Stock immediately theretofore acquirable and receivable upon exercise of this Warrant had such consolidation, merger or sale or conveyance not taken place. In any such case, the Company will make appropriate provision to insure that the provisions of this Paragraph 4 hereof will thereafter be applicable as nearly as may be in relation to any shares of stock or securities thereafter deliverable upon the exercise of this Warrant. The Company will not effect any consolidation, merger or sale or conveyance unless prior to the consummation thereof, the successor corporation (if other than the Company) assumes by written instrument the obligations under this Paragraph 4 and the obligations to deliver to the Holder such shares of stock, securities or assets as, in accordance with the foregoing provisions, the Holder may be entitled to acquire.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caps w:val="false"/>
          <w:smallCaps w:val="false"/>
          <w:sz w:val="20"/>
          <w:u w:val="single"/>
        </w:rPr>
        <w:t>Issue Tax</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issuance of the Warrant Shares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w:t>
      </w:r>
    </w:p>
    <w:p>
      <w:pPr>
        <w:pStyle w:val="TextBody"/>
        <w:bidi w:val="0"/>
        <w:spacing w:before="0" w:after="0"/>
        <w:ind w:left="72" w:right="0" w:firstLine="648"/>
        <w:jc w:val="both"/>
        <w:rPr>
          <w:caps w:val="false"/>
          <w:smallCaps w:val="false"/>
        </w:rPr>
      </w:pPr>
      <w:r>
        <w:rPr>
          <w:caps w:val="false"/>
          <w:smallCaps w:val="false"/>
        </w:rPr>
        <w:t> </w:t>
      </w:r>
    </w:p>
    <w:p>
      <w:pPr>
        <w:pStyle w:val="TextBody"/>
        <w:bidi w:val="0"/>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val="false"/>
          <w:smallCaps w:val="false"/>
          <w:sz w:val="20"/>
          <w:u w:val="single"/>
        </w:rPr>
        <w:t>No Rights or Liabilities as a Shareholder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shall not entitle the Holder to any voting rights or other rights as a shareholder of the Company. No provision of this Warrant, in the absence of affirmative action by the Holder to purchase Warrant Shares, and no mere enumeration herein of the rights or privileges of the Holder, shall give rise to any liability of such Holder for the Exercise Price or as a shareholder of the Company, whether such liability is asserted by the Company or by creditors of the Company.</w:t>
      </w:r>
    </w:p>
    <w:p>
      <w:pPr>
        <w:pStyle w:val="TextBody"/>
        <w:bidi w:val="0"/>
        <w:spacing w:before="0" w:after="0"/>
        <w:ind w:left="72" w:right="0" w:firstLine="648"/>
        <w:jc w:val="both"/>
        <w:rPr>
          <w:caps w:val="false"/>
          <w:smallCaps w:val="false"/>
        </w:rPr>
      </w:pPr>
      <w:r>
        <w:rPr>
          <w:caps w:val="false"/>
          <w:smallCaps w:val="false"/>
        </w:rPr>
        <w:t> </w:t>
      </w:r>
    </w:p>
    <w:p>
      <w:pPr>
        <w:pStyle w:val="TextBody"/>
        <w:bidi w:val="0"/>
        <w:spacing w:before="0" w:after="0"/>
        <w:ind w:left="72" w:right="0" w:firstLine="648"/>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caps w:val="false"/>
          <w:smallCaps w:val="false"/>
          <w:sz w:val="20"/>
          <w:u w:val="single"/>
        </w:rPr>
        <w:t>Transfer, Exchange, and Replacement of Warrant</w:t>
      </w:r>
      <w:r>
        <w:rPr>
          <w:rFonts w:ascii="Times New Roman;Times;Serif" w:hAnsi="Times New Roman;Times;Serif"/>
          <w:b/>
          <w:i w:val="false"/>
          <w:caps w:val="false"/>
          <w:smallCaps w:val="false"/>
          <w:sz w:val="20"/>
        </w:rPr>
        <w:t>.</w:t>
      </w:r>
    </w:p>
    <w:p>
      <w:pPr>
        <w:pStyle w:val="TextBody"/>
        <w:bidi w:val="0"/>
        <w:spacing w:before="0" w:after="0"/>
        <w:ind w:left="72" w:right="0" w:firstLine="64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val="false"/>
          <w:caps w:val="false"/>
          <w:smallCaps w:val="false"/>
          <w:sz w:val="20"/>
          <w:u w:val="single"/>
        </w:rPr>
        <w:t>Procedure on Transfer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and the rights granted to the Holder are transferable, in whole or in part, upon surrender of this Warrant, together with a properly executed assignment in the form attached hereto, at the office or agency of the Company. Until due presentment for registration of transfer on the books of the Company, the Company may treat the registered Holder as the owner and holder of this Warrant for all purposes, and the Company shall not be affected by any notice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val="false"/>
          <w:caps w:val="false"/>
          <w:smallCaps w:val="false"/>
          <w:sz w:val="20"/>
          <w:u w:val="single"/>
        </w:rPr>
        <w:t>Warrant Exchangeable for Different Denominations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is exchangeable, upon the surrender hereof by the Holder at the office or agency of the Company, for new Warrants of like tenor representing in the aggregate the right to purchase the number of shares of Common Stock which may be purchased hereunder, each of such new Warrants to represent the right to purchase such number of shares as shall be designated by the Holder at the time of such surrender.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Replacement of Warrant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Upon receipt of evidence reasonably satisfactory to the Company of the loss, theft, destruction, or mutilation of this Warrant and, in the case of any such loss, theft, or destruction, upon delivery of an indemnity agreement reasonably satisfactory in form and amount to the Company, or, in the case of any such mutilation, upon surrender and cancellation of this Warrant, the Company, at its expense, will execute and deliver, in lieu thereof, a new Warrant of like tenor.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val="false"/>
          <w:caps w:val="false"/>
          <w:smallCaps w:val="false"/>
          <w:sz w:val="20"/>
          <w:u w:val="single"/>
        </w:rPr>
        <w:t>Cancellation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Upon the surrender of this Warrant in connection with any transfer, exchange, or replacement as provided in this Paragraph 7, this Warrant shall be promptly canceled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val="false"/>
          <w:caps w:val="false"/>
          <w:smallCaps w:val="false"/>
          <w:sz w:val="20"/>
          <w:u w:val="single"/>
        </w:rPr>
        <w:t>Register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Company shall maintain, at its principal executive offices (or such other office or agency of the Company as it may designate by notice to the Holder), a register for this Warrant, in which the Company shall record the name and address of the person in whose name this Warrant has been issued, as well as the name and address of each transferee and each prior owner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val="false"/>
          <w:caps w:val="false"/>
          <w:smallCaps w:val="false"/>
          <w:sz w:val="20"/>
          <w:u w:val="single"/>
        </w:rPr>
        <w:t>Exercise or Transfer Without Registration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If, at the time of the surrender of this Warrant in connection with any exercise, transfer, or exchange of this Warrant, this Warrant (or, in the case of any exercise, the Warrant Shares issuable hereunder), shall not be registered under the Securities Act of 1933, as amended (the “Securities Act”) and under applicable state securities or blue sky laws, the Company may require, as a condition of allowing such exercise, transfer, or exchange, (i) that the Holder or transferee of this Warrant, as the case may be, furnish to the Company a written opinion of counsel, which opinion and counsel are acceptable to the Company, to the effect that such exercise, transfer, or exchange may be made without registration under said Act and under applicable state securities or blue sky laws, (ii) that the Holder or transferee execute and deliver to the Company an investment representation letter in form and substance acceptable to the Company and (iii) that the transferee be an “accredited investor” as defined in Rule 501(a) promulgated under the Securities Act and provides representations to that effect in form and substance acceptable to the Company; provided that no such opinion, letter or status as an “accredited investor” shall be required in connection with a transfer pursuant to Rule 144 under the Securities Act. The first holder of this Warrant, by taking and holding the same, represents to the Company that such holder is acquiring this Warrant for investment and not with a view to the distribution thereof. In no event shall the Holder be permitted to assign the Warrant unless provided with express written consent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All notices, requests, and other communications required or permitted to be given or delivered hereunder to the Holder shall be in writing, and shall be personally delivered, or shall be sent by certified or registered mail or by recognized overnight mail courier, postage prepaid and addressed, to such holder at the address shown for such holder on the books of the Company, or at such other address as shall have been furnished to the Company by notice from such holder. All notices, requests, and other communications required or permitted to be given or delivered hereunder to the Company shall be in writing, and shall be personally delivered, or shall be sent by certified or registered mail or by recognized overnight mail courier, postage prepaid and addressed, to the office of the Company at 1580 N. Logan St., Suite 660, Unit 51767, Denver, Colorado 80203 Attn: Graham N. Arad or legal@authid.ai or at such other address as shall have been furnished to the Holder by notice from the Company. Any such notice, request, or other communication may be sent by e-mail. All notices, requests, and other communications shall be deemed to have been given either at the time of the receipt thereof by the person entitled to receive such notice at the address of such person for purposes of this Section 8, or, if mailed by registered or certified mail or with a recognized overnight mail courier upon deposit with the United States Post Office or such overnight mail courier, if postage is prepaid and the mailing is properly addressed, as the case may be.</w:t>
      </w:r>
    </w:p>
    <w:p>
      <w:pPr>
        <w:pStyle w:val="TextBody"/>
        <w:bidi w:val="0"/>
        <w:spacing w:before="0" w:after="0"/>
        <w:ind w:left="72" w:right="0" w:hanging="0"/>
        <w:jc w:val="left"/>
        <w:rPr>
          <w:caps w:val="false"/>
          <w:smallCaps w:val="false"/>
        </w:rPr>
      </w:pPr>
      <w:r>
        <w:rPr>
          <w:caps w:val="false"/>
          <w:smallCaps w:val="false"/>
        </w:rPr>
        <w:t> </w:t>
      </w:r>
    </w:p>
    <w:p>
      <w:pPr>
        <w:pStyle w:val="TextBody"/>
        <w:bidi w:val="0"/>
        <w:spacing w:before="0" w:after="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Warrant shall be enforced, governed by and construed in accordance with the laws of the State of New York applicable to agreements made and to be performed entirely within such state, without regard to the principles of conflict of laws. The parties hereto hereby submit to the exclusive jurisdiction of the courts, Federal and State located in New York County, New York with respect to any dispute arising under this Warrant, the agreements entered into in connection herewith or the transactions contemplated hereby or thereby. Both parties irrevocably waive the defense of an inconvenient forum to the maintenance of such suit or proceeding. Both parties further agree that service of process upon a party mailed by first class mail shall be deemed in every respect effective service of process upon the party in any such suit or proceeding. Nothing herein shall affect either party’s right to serve process in any other manner permitted by law. The party which does not prevail in any dispute arising under this Warrant shall be responsible for all fees and expenses, including attorneys’ fees, incurred by the prevailing party in connection with such dispute.</w:t>
      </w:r>
    </w:p>
    <w:p>
      <w:pPr>
        <w:pStyle w:val="TextBody"/>
        <w:bidi w:val="0"/>
        <w:spacing w:before="0" w:after="0"/>
        <w:ind w:left="72" w:right="0" w:firstLine="648"/>
        <w:jc w:val="left"/>
        <w:rPr>
          <w:caps w:val="false"/>
          <w:smallCaps w:val="false"/>
        </w:rPr>
      </w:pPr>
      <w:r>
        <w:rPr>
          <w:caps w:val="false"/>
          <w:smallCaps w:val="false"/>
        </w:rPr>
        <w:t> </w:t>
      </w:r>
    </w:p>
    <w:p>
      <w:pPr>
        <w:pStyle w:val="TextBody"/>
        <w:bidi w:val="0"/>
        <w:spacing w:before="0" w:after="0"/>
        <w:ind w:left="72" w:right="0" w:firstLine="64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Miscellaneous.</w:t>
      </w:r>
    </w:p>
    <w:p>
      <w:pPr>
        <w:pStyle w:val="TextBody"/>
        <w:bidi w:val="0"/>
        <w:spacing w:before="0" w:after="0"/>
        <w:ind w:left="72" w:right="0" w:firstLine="648"/>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val="false"/>
          <w:caps w:val="false"/>
          <w:smallCaps w:val="false"/>
          <w:sz w:val="20"/>
          <w:u w:val="single"/>
        </w:rPr>
        <w:t>Amendments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This Warrant and any provision hereof may only be amended by an instrument in writing signed by the Company and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val="false"/>
          <w:caps w:val="false"/>
          <w:smallCaps w:val="false"/>
          <w:sz w:val="20"/>
          <w:u w:val="single"/>
        </w:rPr>
        <w:t>Descriptive Headings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descriptive headings of the several paragraphs of this Warrant are inserted for purposes of reference only and shall not affect the meaning or construction of any of the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Holder, by vitiating the intent and purpose of the transaction contemplated hereby. Accordingly, the Company acknowledges that the remedy at law for a breach of its obligations under this Warrant will be inadequate and agrees, in the event of a breach or threatened breach by the Company of the provisions of this Warrant, that the Holder shall be entitled, in addition to all other available remedies at law or in equity, and in addition to the penalties assessable herein, to an injunction or injunctions restraining, preventing or curing any breach of this Warrant and to enforce specifically the terms and provisions thereof, without the necessity of showing economic loss and without any bond or other security being required.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Company has caused this Warrant to be signed by its duly authorized officer.</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 Sellitto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 __, 20__</w:t>
      </w:r>
    </w:p>
    <w:p>
      <w:pPr>
        <w:pStyle w:val="TextBody"/>
        <w:bidi w:val="0"/>
        <w:spacing w:before="0" w:after="0"/>
        <w:ind w:left="0" w:right="0" w:firstLine="648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320"/>
        <w:gridCol w:w="2105"/>
        <w:gridCol w:w="7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authID Inc.</w:t>
            </w:r>
          </w:p>
        </w:tc>
        <w:tc>
          <w:tcPr>
            <w:tcW w:w="75" w:type="dxa"/>
            <w:tcBorders/>
            <w:vAlign w:val="center"/>
          </w:tcPr>
          <w:p>
            <w:pPr>
              <w:pStyle w:val="TableContents"/>
              <w:bidi w:val="0"/>
              <w:spacing w:before="0" w:after="283"/>
              <w:jc w:val="left"/>
              <w:rPr/>
            </w:pPr>
            <w:r>
              <w:rPr/>
              <w:t> </w:t>
            </w:r>
          </w:p>
        </w:tc>
      </w:tr>
      <w:tr>
        <w:trPr/>
        <w:tc>
          <w:tcPr>
            <w:tcW w:w="3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1580 N. Logan St Ste 660</w:t>
            </w:r>
          </w:p>
        </w:tc>
        <w:tc>
          <w:tcPr>
            <w:tcW w:w="75" w:type="dxa"/>
            <w:tcBorders/>
            <w:vAlign w:val="center"/>
          </w:tcPr>
          <w:p>
            <w:pPr>
              <w:pStyle w:val="TableContents"/>
              <w:bidi w:val="0"/>
              <w:spacing w:before="0" w:after="283"/>
              <w:jc w:val="left"/>
              <w:rPr/>
            </w:pPr>
            <w:r>
              <w:rPr/>
              <w:t> </w:t>
            </w:r>
          </w:p>
        </w:tc>
      </w:tr>
      <w:tr>
        <w:trPr/>
        <w:tc>
          <w:tcPr>
            <w:tcW w:w="3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 51767</w:t>
            </w:r>
          </w:p>
        </w:tc>
        <w:tc>
          <w:tcPr>
            <w:tcW w:w="75" w:type="dxa"/>
            <w:tcBorders/>
            <w:vAlign w:val="center"/>
          </w:tcPr>
          <w:p>
            <w:pPr>
              <w:pStyle w:val="TableContents"/>
              <w:bidi w:val="0"/>
              <w:spacing w:before="0" w:after="283"/>
              <w:jc w:val="left"/>
              <w:rPr/>
            </w:pPr>
            <w:r>
              <w:rPr/>
              <w:t> </w:t>
            </w:r>
          </w:p>
        </w:tc>
      </w:tr>
      <w:tr>
        <w:trPr/>
        <w:tc>
          <w:tcPr>
            <w:tcW w:w="3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Denver, Colorado 80203</w:t>
            </w:r>
          </w:p>
        </w:tc>
        <w:tc>
          <w:tcPr>
            <w:tcW w:w="75" w:type="dxa"/>
            <w:tcBorders/>
            <w:vAlign w:val="center"/>
          </w:tcPr>
          <w:p>
            <w:pPr>
              <w:pStyle w:val="TableContents"/>
              <w:bidi w:val="0"/>
              <w:spacing w:before="0" w:after="283"/>
              <w:jc w:val="left"/>
              <w:rPr/>
            </w:pPr>
            <w:r>
              <w:rPr/>
              <w:t> </w:t>
            </w:r>
          </w:p>
        </w:tc>
      </w:tr>
      <w:tr>
        <w:trPr/>
        <w:tc>
          <w:tcPr>
            <w:tcW w:w="3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 General Counsel</w:t>
            </w:r>
          </w:p>
        </w:tc>
        <w:tc>
          <w:tcPr>
            <w:tcW w:w="75" w:type="dxa"/>
            <w:tcBorders/>
            <w:vAlign w:val="center"/>
          </w:tcPr>
          <w:p>
            <w:pPr>
              <w:pStyle w:val="TableContents"/>
              <w:bidi w:val="0"/>
              <w:spacing w:before="0" w:after="283"/>
              <w:jc w:val="left"/>
              <w:rPr/>
            </w:pPr>
            <w:r>
              <w:rPr/>
              <w:t> </w:t>
            </w:r>
          </w:p>
        </w:tc>
      </w:tr>
      <w:tr>
        <w:trPr/>
        <w:tc>
          <w:tcPr>
            <w:tcW w:w="3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legal@authid.ai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pursuant to the provisions set forth in the within Warrant, hereby agrees to purchase _____________ shares of Common Stock covered by such Warrant. The undersigned intends that payment of the Exercise Price shall be made as follows (check one and initial)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a cash exercise in the amount of $________ by means of wire transfer to Company’s bank account within two banking days of the date 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a cashless exercise in accordance with Section 1(b)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such shares of Common Stock in the name of and pay any cash for any fractional share to:</w:t>
      </w:r>
    </w:p>
    <w:p>
      <w:pPr>
        <w:pStyle w:val="TextBody"/>
        <w:bidi w:val="0"/>
        <w:spacing w:before="0" w:after="0"/>
        <w:ind w:left="0" w:right="0" w:firstLine="72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905"/>
        <w:gridCol w:w="8915"/>
      </w:tblGrid>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9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w:t>
            </w:r>
          </w:p>
        </w:tc>
        <w:tc>
          <w:tcPr>
            <w:tcW w:w="89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89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89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w:t>
            </w:r>
          </w:p>
        </w:tc>
        <w:tc>
          <w:tcPr>
            <w:tcW w:w="8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above signature should correspond exactly with the name on the face of the within Warrant,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ASSIGNMENT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the undersigned hereby sells, assigns, and transfers all the rights of the undersigned under the within Warrant Number ________ , with respect to the number of shares of Common Stock covered thereby set forth hereinbelow, to:</w:t>
      </w:r>
    </w:p>
    <w:p>
      <w:pPr>
        <w:pStyle w:val="TextBody"/>
        <w:bidi w:val="0"/>
        <w:spacing w:before="0" w:after="0"/>
        <w:ind w:left="0" w:right="0" w:hanging="0"/>
        <w:jc w:val="left"/>
        <w:rPr>
          <w:caps w:val="false"/>
          <w:smallCaps w:val="false"/>
        </w:rPr>
      </w:pPr>
      <w:r>
        <w:rPr>
          <w:caps w:val="false"/>
          <w:smallCaps w:val="false"/>
        </w:rPr>
        <w:t> </w:t>
      </w:r>
    </w:p>
    <w:tbl>
      <w:tblPr>
        <w:tblW w:w="3330" w:type="dxa"/>
        <w:jc w:val="left"/>
        <w:tblInd w:w="0" w:type="dxa"/>
        <w:tblLayout w:type="fixed"/>
        <w:tblCellMar>
          <w:top w:w="0" w:type="dxa"/>
          <w:left w:w="0" w:type="dxa"/>
          <w:bottom w:w="28" w:type="dxa"/>
          <w:right w:w="0" w:type="dxa"/>
        </w:tblCellMar>
      </w:tblPr>
      <w:tblGrid>
        <w:gridCol w:w="1490"/>
        <w:gridCol w:w="60"/>
        <w:gridCol w:w="665"/>
        <w:gridCol w:w="60"/>
        <w:gridCol w:w="1055"/>
      </w:tblGrid>
      <w:tr>
        <w:trPr/>
        <w:tc>
          <w:tcPr>
            <w:tcW w:w="149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Assignee</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 of Shares</w:t>
            </w:r>
          </w:p>
        </w:tc>
      </w:tr>
      <w:tr>
        <w:trPr/>
        <w:tc>
          <w:tcPr>
            <w:tcW w:w="14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 </w:t>
            </w:r>
          </w:p>
        </w:tc>
      </w:tr>
      <w:tr>
        <w:trPr/>
        <w:tc>
          <w:tcPr>
            <w:tcW w:w="14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pPr>
            <w:r>
              <w:rPr/>
              <w:t> </w:t>
            </w:r>
          </w:p>
        </w:tc>
      </w:tr>
      <w:tr>
        <w:trPr/>
        <w:tc>
          <w:tcPr>
            <w:tcW w:w="14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and hereby irrevocably constitutes and appoints ___________________________________ as agent and attorney-in-fact to transfer said Warrant on the books of the within-named corporation,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 __, 20__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0"/>
        <w:gridCol w:w="891"/>
        <w:gridCol w:w="7894"/>
      </w:tblGrid>
      <w:tr>
        <w:trPr/>
        <w:tc>
          <w:tcPr>
            <w:tcW w:w="1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presence of:</w:t>
            </w:r>
          </w:p>
        </w:tc>
        <w:tc>
          <w:tcPr>
            <w:tcW w:w="878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20" w:type="dxa"/>
            <w:tcBorders/>
            <w:vAlign w:val="center"/>
          </w:tcPr>
          <w:p>
            <w:pPr>
              <w:pStyle w:val="TableContents"/>
              <w:bidi w:val="0"/>
              <w:spacing w:before="0" w:after="283"/>
              <w:jc w:val="left"/>
              <w:rPr/>
            </w:pPr>
            <w:r>
              <w:rPr/>
              <w:t> </w:t>
            </w:r>
          </w:p>
        </w:tc>
        <w:tc>
          <w:tcPr>
            <w:tcW w:w="8785" w:type="dxa"/>
            <w:gridSpan w:val="2"/>
            <w:tcBorders/>
            <w:vAlign w:val="center"/>
          </w:tcPr>
          <w:p>
            <w:pPr>
              <w:pStyle w:val="TableContents"/>
              <w:bidi w:val="0"/>
              <w:spacing w:before="0" w:after="283"/>
              <w:jc w:val="left"/>
              <w:rPr/>
            </w:pPr>
            <w:r>
              <w:rPr/>
              <w:t> </w:t>
            </w:r>
          </w:p>
        </w:tc>
      </w:tr>
      <w:tr>
        <w:trPr/>
        <w:tc>
          <w:tcPr>
            <w:tcW w:w="142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89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2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7894" w:type="dxa"/>
            <w:tcBorders/>
            <w:vAlign w:val="center"/>
          </w:tcPr>
          <w:p>
            <w:pPr>
              <w:pStyle w:val="TableContents"/>
              <w:bidi w:val="0"/>
              <w:spacing w:before="0" w:after="283"/>
              <w:jc w:val="left"/>
              <w:rPr/>
            </w:pPr>
            <w:r>
              <w:rPr/>
              <w:t> </w:t>
            </w:r>
          </w:p>
        </w:tc>
      </w:tr>
      <w:tr>
        <w:trPr/>
        <w:tc>
          <w:tcPr>
            <w:tcW w:w="142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w:t>
            </w:r>
          </w:p>
        </w:tc>
        <w:tc>
          <w:tcPr>
            <w:tcW w:w="789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20" w:type="dxa"/>
            <w:tcBorders/>
            <w:vAlign w:val="center"/>
          </w:tcPr>
          <w:p>
            <w:pPr>
              <w:pStyle w:val="TableContents"/>
              <w:bidi w:val="0"/>
              <w:spacing w:before="0" w:after="283"/>
              <w:jc w:val="left"/>
              <w:rPr/>
            </w:pPr>
            <w:r>
              <w:rPr/>
              <w:t> </w:t>
            </w:r>
          </w:p>
        </w:tc>
        <w:tc>
          <w:tcPr>
            <w:tcW w:w="87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Signing Officer or Agent (if any):</w:t>
            </w:r>
          </w:p>
        </w:tc>
      </w:tr>
      <w:tr>
        <w:trPr/>
        <w:tc>
          <w:tcPr>
            <w:tcW w:w="142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7894" w:type="dxa"/>
            <w:tcBorders/>
            <w:vAlign w:val="center"/>
          </w:tcPr>
          <w:p>
            <w:pPr>
              <w:pStyle w:val="TableContents"/>
              <w:bidi w:val="0"/>
              <w:spacing w:before="0" w:after="283"/>
              <w:jc w:val="left"/>
              <w:rPr/>
            </w:pPr>
            <w:r>
              <w:rPr/>
              <w:t> </w:t>
            </w:r>
          </w:p>
        </w:tc>
      </w:tr>
      <w:tr>
        <w:trPr/>
        <w:tc>
          <w:tcPr>
            <w:tcW w:w="142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789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2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789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2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789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2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c>
          <w:tcPr>
            <w:tcW w:w="7894" w:type="dxa"/>
            <w:tcBorders/>
            <w:vAlign w:val="center"/>
          </w:tcPr>
          <w:p>
            <w:pPr>
              <w:pStyle w:val="TableContents"/>
              <w:bidi w:val="0"/>
              <w:spacing w:before="0" w:after="283"/>
              <w:jc w:val="left"/>
              <w:rPr/>
            </w:pPr>
            <w:r>
              <w:rPr/>
              <w:t> </w:t>
            </w:r>
          </w:p>
        </w:tc>
      </w:tr>
      <w:tr>
        <w:trPr/>
        <w:tc>
          <w:tcPr>
            <w:tcW w:w="142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w:t>
            </w:r>
          </w:p>
        </w:tc>
        <w:tc>
          <w:tcPr>
            <w:tcW w:w="7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above signature should correspond exactly with the name on the face of the within Warrant,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8" w:name="ea030800701ex99-1.htm"/>
      <w:bookmarkStart w:id="39" w:name="ksea030800701ex991"/>
      <w:bookmarkEnd w:id="38"/>
      <w:bookmarkEnd w:id="39"/>
      <w:r>
        <w:rPr>
          <w:rFonts w:ascii="Times New Roman;Times;Serif" w:hAnsi="Times New Roman;Times;Serif"/>
          <w:b/>
          <w:i w:val="false"/>
          <w:caps w:val="false"/>
          <w:smallCaps w:val="false"/>
          <w:sz w:val="20"/>
        </w:rPr>
        <w:t>Exhibit 99.1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7630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76300" cy="676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Announces Pricing of Up To $1,350,000 Private Placement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Debentures Issued in April 2026 Agree to Extend Maturity through February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Oct. 05, 2026 (GLOBE NEWSWIRE) -- authID Inc. (NASDAQ: AUID) (“authID” or the “Company”), a leading provider of biometric identity verification and authentication solutions, today announced it has entered into a definitive agreement with investors to sell Senior Secured Convertible Debentures (the “Debentures”) and Warrants to purchase shares of the Company’s common stock (the “Warrants”) pursuant to a private placement offering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Debentures are convertible into Common Stock at the option of each Holder at a price of $0.386. The Warrants will have an exercise price of $0.50. The conversion of the Debentures, and issuance and exercise of the Warrants shall remain subject to compliance with applicable securities laws, Nasdaq rules and the Company’s governing documents, including stockholder approval prior to any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gross proceeds from the Offering are expected to be approximately $1,350,000 before deducting placement agent fees and other Offering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Offering is expected to occur commencing on or about October 6, 2026, subject to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holders of Senior Secured Debentures issued in April 2026, agreed to extend the maturity date of their debentures to February 28,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Madison Global Partners, LLC acted as a non-exclusive Placement Agent in connection with the offering. Madison Global Partners, LLC also served as a non-exclusive financial advisor to the Company, providing strategic guidance throughout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placement activities, Madison Global Partners, LLC delivers a range of advisory and investment services, including capital markets advisory, transaction structuring, and strategic financial consulting. Their involvement reflects the Company’s commitment to leveraging experienced financial partners to support its growth initiatives and long-term value creation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intends to use the net proceeds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Debentures and the Warrants described above are being offered and sold in a private placement pursuant to Section 4(a)(2) of the Securities Act of 1933, as amended (the “Securities Act”), and/or Regulation D promulgated thereunder. The Debentures, the Warrants, the Conversion Shares and the shares of common stock issuable upon exercise of the Warrants and Placement Agent Warrants have not been registered under the Securities Act or applicable state securities laws. Accordingly, these securities may not be reoffered or resold in the United States absent registration with the SEC or an applicable exemption from such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parties also entered into a registration rights agreement, pursuant to which the Company has agreed to file one or more registration statements with the SEC covering the resale of the shares of common stock issuable upon the exercise of the Warrants, issuable upon Conversion of the Conversion Shares and the Placement Agent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authID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(Nasdaq: AUID) ensures enterprises “Know Who's Behind the Device™” for every customer or employee login and transaction through its easy-to-integrate, patented, biometric identity platform. authID quickly and accurately verifies a user's identity, leveraging a 1-in-1-billion false positive rate for the highest level of assurance, coupled with industry-leading speed and privacy-preserving technology. Its IDX platform secures the distributed workforce of employees and contractors, while enforcing authorization and accountability for AI agents. By creating a biometric root of trust for each user, authID stops fraud at onboarding, prevents account takeover, detects and stops deepfakes, eliminates password risks and costs, and provides the fastest, frictionless, and most accurate user identity experience in the industry.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authID.ai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Investor-Relations@authid.ai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All statements other than statements of historical facts included herein are forward-looking statements. Actual results may vary materially from the results anticipated by these forward-looking statements as a result of a variety of risk factors. See the Company’s Annual Report on Form 10-K for the Fiscal Year ended December 31, 2025, filed at www.sec.gov and other documents filed with the SEC for risk factors which investors should consider. These forward-looking statements speak only as to the date of this release and cannot be relied upon as a guide to future performance. authID expressly disclaims any obligation or undertaking to disseminate any updates or revisions to any forward-looking statements contained in this release to reflect any changes in its expectations with regard thereto or any change in events, conditions, or circumstances on which any statement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40" w:name="ea030800701ex99-2.htm"/>
      <w:bookmarkStart w:id="41" w:name="ksea030800701ex992"/>
      <w:bookmarkEnd w:id="40"/>
      <w:bookmarkEnd w:id="41"/>
      <w:r>
        <w:rPr>
          <w:rFonts w:ascii="Times New Roman;Times;Serif" w:hAnsi="Times New Roman;Times;Serif"/>
          <w:b/>
          <w:i w:val="false"/>
          <w:caps w:val="false"/>
          <w:smallCaps w:val="false"/>
          <w:sz w:val="20"/>
        </w:rPr>
        <w:t>Exhibit 99.2</w:t>
      </w:r>
      <w:r>
        <w:br w:type="page"/>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Announces $2 Million Agreement with the EinStrong Foundation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EinStrong invests $2M in authID’s biometric identity technology to secure its mission to fight poverty and educational inequality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DENVER, October 6, 2026 - </w:t>
      </w:r>
      <w:r>
        <w:rPr>
          <w:rFonts w:ascii="Times New Roman;Times;Serif" w:hAnsi="Times New Roman;Times;Serif"/>
          <w:b w:val="false"/>
          <w:i w:val="false"/>
          <w:caps w:val="false"/>
          <w:smallCaps w:val="false"/>
          <w:sz w:val="20"/>
          <w:shd w:fill="FFFFFF" w:val="clear"/>
        </w:rPr>
        <w:t>authID</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 (Nasdaq: AUID), a leading provider of biometric identity verification and authentication solutions, today announced a $2</w:t>
      </w:r>
      <w:r>
        <w:rPr>
          <w:rFonts w:ascii="Times New Roman;Times;Serif" w:hAnsi="Times New Roman;Times;Serif"/>
          <w:b w:val="false"/>
          <w:i w:val="false"/>
          <w:caps w:val="false"/>
          <w:smallCaps w:val="false"/>
          <w:sz w:val="20"/>
        </w:rPr>
        <w:t xml:space="preserve"> million </w:t>
      </w:r>
      <w:r>
        <w:rPr>
          <w:rFonts w:ascii="Times New Roman;Times;Serif" w:hAnsi="Times New Roman;Times;Serif"/>
          <w:b w:val="false"/>
          <w:i w:val="false"/>
          <w:caps w:val="false"/>
          <w:smallCaps w:val="false"/>
          <w:sz w:val="20"/>
          <w:shd w:fill="FFFFFF" w:val="clear"/>
        </w:rPr>
        <w:t>technology licensing, services, and support agreement with the </w:t>
      </w:r>
      <w:r>
        <w:rPr>
          <w:rFonts w:ascii="Times New Roman;Times;Serif" w:hAnsi="Times New Roman;Times;Serif"/>
          <w:b w:val="false"/>
          <w:i w:val="false"/>
          <w:caps w:val="false"/>
          <w:smallCaps w:val="false"/>
          <w:sz w:val="20"/>
        </w:rPr>
        <w:t>EinStrong Charitable Foundation, an organization dedicated to alleviating poverty and providing secure and transparent support to vulnerable groups of people around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enable the further development of ESi, EinStrong’s universal ID, EinStrong paid $1 million for a non-exclusive authID technology license and has committed an additional $1 million for new biometric de-duplication functionality and engineering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EinStrong provides direct cash transfers directly to underprivileged populations such as single mothers living in poverty, utilizing authID technology to positively determine the identities of recipients through biometric identification and verification. EinStrong’s program encourages the improvement of local environments and the progression of sustainable livelihoods, as well as assisting childhood education.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To enhance its ability to prevent fraud and ensure that funds are only provided to eligible recipients, EinStrong</w:t>
      </w:r>
      <w:r>
        <w:rPr>
          <w:rFonts w:ascii="Times New Roman;Times;Serif" w:hAnsi="Times New Roman;Times;Serif"/>
          <w:b w:val="false"/>
          <w:i w:val="false"/>
          <w:caps w:val="false"/>
          <w:smallCaps w:val="false"/>
          <w:sz w:val="20"/>
        </w:rPr>
        <w:t xml:space="preserve"> has made a significant commitment to the authID technology through investment and product roadmap alignment.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over two years we have been proud participants in EinStrong’s mission to assist less fortunate, at-risk communities,” commented Thomas Szoke, CEO of authID. “Their commitment to supporting impoverished societies has inspired our designers and developers to further enhance our tech, allowing them to deter fraudsters and duplicates, and put precious funds in the hands of deserving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We are excited about our business outlook and the execution of this important agreement,” added Szoke. “Having now reduced our monthly cash operating expenses by roughly 40% as compared to the first quarter 2026, we start the fourth quarter from a leaner base that gives us real leverage as the business grows. We remain committed to disciplined execution and to pursuing the best path forward for authID, its customers and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Over the last two years</w:t>
      </w:r>
      <w:r>
        <w:rPr>
          <w:rFonts w:ascii="Times New Roman;Times;Serif" w:hAnsi="Times New Roman;Times;Serif"/>
          <w:b w:val="false"/>
          <w:i w:val="false"/>
          <w:caps w:val="false"/>
          <w:smallCaps w:val="false"/>
          <w:sz w:val="20"/>
        </w:rPr>
        <w:t>, our use of authID’s biometric platform has given our sponsors the confidence to fund our mission knowing that their donations will go only to people in need,” commented Steven Cho, Chief Operating Officer of EinStrong. “By deepening our investment and partnership with authID, EinStrong will further extend its innovation and achieve even greater impact as we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EinStrong’s</w:t>
      </w:r>
      <w:r>
        <w:rPr>
          <w:rFonts w:ascii="Times New Roman;Times;Serif" w:hAnsi="Times New Roman;Times;Serif"/>
          <w:b w:val="false"/>
          <w:i w:val="false"/>
          <w:caps w:val="false"/>
          <w:smallCaps w:val="false"/>
          <w:sz w:val="20"/>
        </w:rPr>
        <w:t xml:space="preserve"> proprietary app enables donors to bypass the typical obstacles to philanthropy, with direct cash donations that most easily benefit needy families across multiple continents. </w:t>
      </w:r>
      <w:r>
        <w:rPr>
          <w:rFonts w:ascii="Times New Roman;Times;Serif" w:hAnsi="Times New Roman;Times;Serif"/>
          <w:b w:val="false"/>
          <w:i w:val="false"/>
          <w:caps w:val="false"/>
          <w:smallCaps w:val="false"/>
          <w:sz w:val="20"/>
          <w:shd w:fill="FFFFFF" w:val="clear"/>
        </w:rPr>
        <w:t>authID has supported EinStrong</w:t>
      </w:r>
      <w:r>
        <w:rPr>
          <w:rFonts w:ascii="Times New Roman;Times;Serif" w:hAnsi="Times New Roman;Times;Serif"/>
          <w:b w:val="false"/>
          <w:i w:val="false"/>
          <w:caps w:val="false"/>
          <w:smallCaps w:val="false"/>
          <w:sz w:val="20"/>
        </w:rPr>
        <w:t>’s mission through a seamless biometric identity experience that allows users to easily and securely assert their identities and gain access to and use donor funds.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authID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(Nasdaq: AUID) ensures enterprises “Know Who’s Behind the Device™” for every customer or employee login and transaction through its easy-to-integrate, patented, biometric identity platform. authID quickly and accurately verifies a user’s identity and eliminates any assumption of “who” is behind a device to prevent cybercriminals from compromising account openings or taking over accounts. Combining secure digital onboarding, biometric authentication, and account recovery with a fast, accurate, user-friendly experience, authID delivers biometric identity processing in 700ms, with a 1-to-1-billion false match rate and 1-to-many sub-second search capability. authID delivers all the benefits of biometric identity verification while ensuring complete privacy protection and regulatory compliance by storing no biometric data whatsoever. For more information, visit authid.ai.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Investor Relations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investor-relations@authID.ai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EinStrong Foundation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EinStrong Foundation is a not-for-profit foundation started in 2019, headquartered in Southern California, with additional support from individuals and organizations in Asia and Europe. They invite other individuals, foundations, educational institutions, NGOs, and philanthropists to improve the economic, educational, and climate change objectives of people around the world. Their objective is to benefit a billion people globally in the next 5-10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contact info@einstrong.org</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46322</Words>
  <Characters>245547</Characters>
  <CharactersWithSpaces>292102</CharactersWithSpaces>
  <Paragraphs>2312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