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4288-8k_authid.htm"/>
      <w:bookmarkStart w:id="1" w:name="ksea03042888k_authi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826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August 26,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2397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23975" cy="10096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authID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210"/>
        <w:gridCol w:w="60"/>
        <w:gridCol w:w="2210"/>
        <w:gridCol w:w="60"/>
        <w:gridCol w:w="189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1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4_edei--EntityFileNumber_c20260826"/>
            <w:bookmarkEnd w:id="6"/>
            <w:r>
              <w:rPr>
                <w:rFonts w:ascii="Times New Roman;Times;Serif" w:hAnsi="Times New Roman;Times;Serif"/>
                <w:b/>
                <w:sz w:val="20"/>
              </w:rPr>
              <w:t>001-40747</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7_edei--EntityTaxIdentificationNum"/>
            <w:bookmarkEnd w:id="7"/>
            <w:r>
              <w:rPr>
                <w:rFonts w:ascii="Times New Roman;Times;Serif" w:hAnsi="Times New Roman;Times;Serif"/>
                <w:b/>
                <w:sz w:val="20"/>
              </w:rPr>
              <w:t>46-2069547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val="false"/>
          <w:i w:val="false"/>
          <w:caps w:val="false"/>
          <w:smallCaps w:val="false"/>
          <w:sz w:val="20"/>
        </w:rPr>
        <w:t xml:space="preserve">1580 N. Logan St, </w:t>
      </w:r>
      <w:bookmarkStart w:id="9" w:name="xdx_909_edei--EntityAddressAddressLine2_"/>
      <w:bookmarkEnd w:id="9"/>
      <w:r>
        <w:rPr>
          <w:rFonts w:ascii="Times New Roman;Times;Serif" w:hAnsi="Times New Roman;Times;Serif"/>
          <w:b w:val="false"/>
          <w:i w:val="false"/>
          <w:caps w:val="false"/>
          <w:smallCaps w:val="false"/>
          <w:sz w:val="20"/>
        </w:rPr>
        <w:t xml:space="preserve">Suite 660, </w:t>
      </w:r>
      <w:bookmarkStart w:id="10" w:name="xdx_90B_edei--EntityAddressAddressLine3_"/>
      <w:bookmarkEnd w:id="10"/>
      <w:r>
        <w:rPr>
          <w:rFonts w:ascii="Times New Roman;Times;Serif" w:hAnsi="Times New Roman;Times;Serif"/>
          <w:b w:val="false"/>
          <w:i w:val="false"/>
          <w:caps w:val="false"/>
          <w:smallCaps w:val="false"/>
          <w:sz w:val="20"/>
        </w:rPr>
        <w:t xml:space="preserve">Unit 51767, </w:t>
      </w:r>
      <w:bookmarkStart w:id="11" w:name="xdx_907_edei--EntityAddressCityOrTown_c2"/>
      <w:bookmarkEnd w:id="11"/>
      <w:r>
        <w:rPr>
          <w:rFonts w:ascii="Times New Roman;Times;Serif" w:hAnsi="Times New Roman;Times;Serif"/>
          <w:b w:val="false"/>
          <w:i w:val="false"/>
          <w:caps w:val="false"/>
          <w:smallCaps w:val="false"/>
          <w:sz w:val="20"/>
        </w:rPr>
        <w:t xml:space="preserve">Denver, </w:t>
      </w:r>
      <w:bookmarkStart w:id="12" w:name="xdx_907_edei--EntityAddressStateOrProvin"/>
      <w:bookmarkEnd w:id="12"/>
      <w:r>
        <w:rPr>
          <w:rFonts w:ascii="Times New Roman;Times;Serif" w:hAnsi="Times New Roman;Times;Serif"/>
          <w:b w:val="false"/>
          <w:i w:val="false"/>
          <w:caps w:val="false"/>
          <w:smallCaps w:val="false"/>
          <w:sz w:val="20"/>
        </w:rPr>
        <w:t xml:space="preserve">Colorado </w:t>
      </w:r>
      <w:bookmarkStart w:id="13" w:name="xdx_908_edei--EntityAddressPostalZipCode"/>
      <w:bookmarkEnd w:id="13"/>
      <w:r>
        <w:rPr>
          <w:rFonts w:ascii="Times New Roman;Times;Serif" w:hAnsi="Times New Roman;Times;Serif"/>
          <w:b w:val="false"/>
          <w:i w:val="false"/>
          <w:caps w:val="false"/>
          <w:smallCaps w:val="false"/>
          <w:sz w:val="20"/>
        </w:rPr>
        <w:t>80203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4" w:name="xdx_90F_edei--CityAreaCode_c20260826__20"/>
      <w:bookmarkEnd w:id="14"/>
      <w:r>
        <w:rPr>
          <w:rFonts w:ascii="Times New Roman;Times;Serif" w:hAnsi="Times New Roman;Times;Serif"/>
          <w:b w:val="false"/>
          <w:i w:val="false"/>
          <w:caps w:val="false"/>
          <w:smallCaps w:val="false"/>
          <w:sz w:val="20"/>
        </w:rPr>
        <w:t>516-</w:t>
      </w:r>
      <w:bookmarkStart w:id="15" w:name="xdx_907_edei--LocalPhoneNumber_c20260826"/>
      <w:bookmarkEnd w:id="15"/>
      <w:r>
        <w:rPr>
          <w:rFonts w:ascii="Times New Roman;Times;Serif" w:hAnsi="Times New Roman;Times;Serif"/>
          <w:b w:val="false"/>
          <w:i w:val="false"/>
          <w:caps w:val="false"/>
          <w:smallCaps w:val="false"/>
          <w:sz w:val="20"/>
        </w:rPr>
        <w:t>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6" w:name="xdx_900_edei--WrittenCommunications_c202"/>
            <w:bookmarkEnd w:id="16"/>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7" w:name="xdx_905_edei--SolicitingMaterial_c202608"/>
            <w:bookmarkEnd w:id="17"/>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8" w:name="xdx_900_edei--PreCommencementTenderOffer"/>
            <w:bookmarkEnd w:id="18"/>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9" w:name="xdx_90A_edei--PreCommencementIssuerTende"/>
            <w:bookmarkEnd w:id="19"/>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8865" w:type="dxa"/>
        <w:jc w:val="left"/>
        <w:tblInd w:w="0" w:type="dxa"/>
        <w:tblLayout w:type="fixed"/>
        <w:tblCellMar>
          <w:top w:w="0" w:type="dxa"/>
          <w:left w:w="0" w:type="dxa"/>
          <w:bottom w:w="28" w:type="dxa"/>
          <w:right w:w="0" w:type="dxa"/>
        </w:tblCellMar>
      </w:tblPr>
      <w:tblGrid>
        <w:gridCol w:w="3620"/>
        <w:gridCol w:w="60"/>
        <w:gridCol w:w="1415"/>
        <w:gridCol w:w="60"/>
        <w:gridCol w:w="3710"/>
      </w:tblGrid>
      <w:tr>
        <w:trPr/>
        <w:tc>
          <w:tcPr>
            <w:tcW w:w="36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Security12bTitle_c20260826"/>
            <w:bookmarkEnd w:id="20"/>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8_edei--TradingSymbol_c20260826__2"/>
            <w:bookmarkEnd w:id="21"/>
            <w:r>
              <w:rPr>
                <w:rFonts w:ascii="Times New Roman;Times;Serif" w:hAnsi="Times New Roman;Times;Serif"/>
                <w:sz w:val="20"/>
              </w:rPr>
              <w:t>AUID</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 xml:space="preserve">The </w:t>
            </w:r>
            <w:bookmarkStart w:id="22" w:name="xdx_90F_edei--SecurityExchangeName_c2026"/>
            <w:bookmarkEnd w:id="22"/>
            <w:r>
              <w:rPr>
                <w:rFonts w:ascii="Times New Roman;Times;Serif" w:hAnsi="Times New Roman;Times;Serif"/>
                <w:sz w:val="20"/>
              </w:rPr>
              <w:t>Nasdaq</w:t>
            </w:r>
            <w:r>
              <w:rPr/>
              <w:t xml:space="preserve"> </w:t>
            </w:r>
            <w:r>
              <w:rPr>
                <w:rFonts w:ascii="Times New Roman;Times;Serif" w:hAnsi="Times New Roman;Times;Serif"/>
                <w:sz w:val="20"/>
              </w:rPr>
              <w:t>Stock Market, LLC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B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Chief Executive Officer/Appointment of Chairman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2026, Rhoniel A. Daguro notified the Board of Directors of the Company (the “Board”) of his resignation as Chief Executive Officer of the Company, effective September 4, 2026. Mr. Daguro will continue to serve as a member of the Board. On August 28, 2026, the Board accepted Mr. Daguro’s resignation and acknowledged that such resignation constitutes a resignation for “Good Reason” as that term is defined in the Executive Retention Agreement dated as of March 23, 2023 between the Company and Mr. Daguro (the “Retention Agreement”). Mr. Daguro’s resignation as Chief Executive Officer was not the result of any disagreement with the Company on any matter relating to the Company’s operations, policies or practices. On August 28, 2026, the Board appointed Mr. Daguro to serve as Chairman of the Board, effective immediately, for the remainder of his current elected term as a director, subject to his earlier resignation or removal in accordance with the Company’s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Interim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the Board appointed Thomas R. Szoke, the Company’s Chief Technology Officer, as Interim Chief Executive Officer of the Company, effective September 4, 2026. Mr. Szoke will continue to serve as the Company’s Chief Technology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Szoke, age 62, is a co-founder of the Company and has over 35 years of executive management, solutions engineering and operations management experience in the government security, identity access management and SaaS solutions industries. Mr. Szoke rejoined the Company on March 9, 2023 and, in April 2023, was appointed Chief Technology Officer of the Company. He served as a director of the Company from March 2023 until June 2025. Mr. Szoke previously served as a director and as the Company’s Chief Solutions Architect, and held several other executive positions with the Company from its inception in 2013 through 2021. From 2021 to 2023, Mr. Szoke was an independent consultant to the Company and to others. Mr. Szoke has been issued several U.S. and international patents focused on identity solutions and pioneered the concept and development of several of the Company’s product lines, including its Multi-Factor Out-of-Band Identity and Transaction Authentication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Szoke and any director or executive officer of the Company, and there are no arrangements or understandings between Mr. Szoke and any other person pursuant to which he was appointed as Interim Chief Executive Officer. There are no transactions between the Company and Mr. Szoke that are required to be disclosed pursuant to Item 404(a) of Regulation S-K, other than as described in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in connection with the foregoing, the Company entered into a letter agreement with each of Mr. Szoke (the “Szoke Letter”) and Mr. Daguro (the “Daguro Letter” and, together with the Szoke Letter, the “Letter Agreements”). Each of the Letter Agreements defines a “Corporate Transaction” as the closing of a material transaction with a minimum gross value to the Company above a certain threshold. All payments under the Letter Agreement (other than base salary) are subject to deduction of all taxes and other amounts required by law and are subject to the terms of, and subordinate to all amounts due under, the series of Senior Secured Debentures issued by the Company as of April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Szoke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Szoke Letter amends Mr. Szoke’s Offer Letter dated as of April 12, 2023 and provides that, effective upon his appointment: (i) Mr. Szoke’s responsibilities will comprise managing and overseeing all operations and matters of the Company and its subsidiaries, together with such other functions as are customarily applicable to his position or as are reasonably assigned to him by the Board; (ii) Mr. Szoke’s annual base salary will be increased to $300,000; (iii) the Company will pay Mr. Szoke a cash bonus of $10,000 within five business days; and (iv) the Company will pay Mr. Szoke a cash bonus of $210,000 within five business days following the closing of a Corporate Transaction, provided that he continues to serve as Chief Executive Officer on the date of such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Daguro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Daguro Letter amends the Retention Agreement, including Sections 4.1 through 4.4 thereof, and replaces in their entirety the letters from the Compensation Committee of the Board to Mr. Daguro dated as of February 20, 2026 and May 26, 2026, which are of no further force or effect. The Daguro Letter provides, among other things,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will provide Mr. Daguro a monthly special stipend at the existing level of the premiums necessary to fund ongoing health care coverage for Mr. Daguro and his dependents under the Company’s health care plan for up to 12 months from his termination date, or if earlier, until he secures other coverage;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will pay Mr. Daguro a cash bonus of $400,000 within five business days following the closing of a Corporate Transaction, provided that he has not resigned as Chairman of the Board prior to such closing;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with respect to all stock options previously granted to Mr. Daguro, (A) the vesting of all unvested stock options will continue for so long as he holds office as a director of the Company, and (B) the exercisability of such options is extended to the date that is three years following his cessation of service as a director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will grant Mr. Daguro (A) options to purchase 80,000 shares of common stock at an exercise price equal to two times the Nasdaq Official Closing Price on August 28, 2026, subject to such exercise price being not less than the Nasdaq Official Closing Price on the date of grant, and (B) a warrant to purchase up to 20,000 shares of common stock at an exercise price of $2.00 per share, with a two year time period, upon payment by Daguro to the Company of $10,000 in cash or cash equivalents within six months of the date of the Daguro Letter. These grants will be made once the trading window for the Company’s stock opens in accordance with the Company’s Insider Trading Policy;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Daguro will be eligible for, and will receive, the benefits and compensation the Company provides to its non-employee directors for so long as he serves as a director;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payments due under Section 4.1 of the Retention Agreement will be due and payable (A) on a pro-rated monthly basis until such time as Mr. Daguro secures alternative employment at a base salary of not less than $400,000 per annum, and (B) with the first payment, which will include all amounts accrued from the date of Mr. Daguro’s August 26, 2026 letter, due as stated in the Retention Agreement but paid within five business days following the closing of a Corporate Transaction, and thereafter in accordance with the payment schedule set forth in Section 4.1 of the Retention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Daguro has agreed to provide a release of claims as required by Section 7.3 of the Retention Agreement upon the first payment made under the Daguro Letter, excluding claims arising out of the Daguro Letter and the Retention Agreement as amended, rights of indemnification thereunder or pursuant to the Company’s By-Laws, Certificate of Incorporation or applicable law, and claims relating to his ownership of issued or granted equity or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Szoke Letter and the Daguro Letter do not purport to be complete and are qualified in their entirety by reference to the full text of the Szoke Letter and the Daguro Letter, copies of which are filed as Exhibit 10.1 and Exhibit 10.2,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of 1933, as amended, and Section 21E of the Securities Exchange Act of 1934, as amended, including statements regarding the Company’s leadership transition and the anticipated effectiveness thereof, the Company’s pursuit and possible consummation of a Corporate Transaction, and the timing and amount of the payments and equity awards contemplated by the Letter Agreements. These statements are based on management’s current expectations and are subject to known and unknown risks and uncertainties, including the Company’s ability to raise additional capital on acceptable terms or at all, substantial doubt regarding the Company’s ability to continue as a going concern, the risk that the Company does not identify or consummate a Corporate Transaction, the effects of the leadership transition on the Company’s business, employees, customers and partners, the Company’s ability to retain key personnel and to identify and appoint a permanent Chief Executive Officer, and the other factors described under “Risk Factors” in the Company’s Annual Report on Form 10-K for the year ended December 31, 2025 and in its subsequent filings with the Securities and Exchange Commission. Forward-looking statements speak only as of the date on which they are made, and the Company undertakes no obligation to update any forward-looking statement,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020" w:type="dxa"/>
        <w:jc w:val="left"/>
        <w:tblInd w:w="0" w:type="dxa"/>
        <w:tblLayout w:type="fixed"/>
        <w:tblCellMar>
          <w:top w:w="0" w:type="dxa"/>
          <w:left w:w="0" w:type="dxa"/>
          <w:bottom w:w="28" w:type="dxa"/>
          <w:right w:w="0" w:type="dxa"/>
        </w:tblCellMar>
      </w:tblPr>
      <w:tblGrid>
        <w:gridCol w:w="995"/>
        <w:gridCol w:w="60"/>
        <w:gridCol w:w="696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96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65" w:type="dxa"/>
            <w:tcBorders/>
            <w:shd w:fill="CCEEFF" w:val="clear"/>
            <w:tcMar>
              <w:bottom w:w="0" w:type="dxa"/>
            </w:tcMar>
            <w:vAlign w:val="center"/>
          </w:tcPr>
          <w:p>
            <w:pPr>
              <w:pStyle w:val="TableContents"/>
              <w:bidi w:val="0"/>
              <w:spacing w:before="0" w:after="283"/>
              <w:jc w:val="left"/>
              <w:rPr/>
            </w:pPr>
            <w:hyperlink w:anchor="ea030428801ex10-1.htm">
              <w:r>
                <w:rPr>
                  <w:rStyle w:val="InternetLink"/>
                  <w:rFonts w:ascii="Times New Roman;Times;Serif" w:hAnsi="Times New Roman;Times;Serif"/>
                  <w:sz w:val="20"/>
                </w:rPr>
                <w:t>Letter Agreement dated August 28, 2026 between authID Inc. and Thomas R. Szoke.</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65" w:type="dxa"/>
            <w:tcBorders/>
            <w:shd w:fill="FFFFFF" w:val="clear"/>
            <w:tcMar>
              <w:bottom w:w="0" w:type="dxa"/>
            </w:tcMar>
            <w:vAlign w:val="center"/>
          </w:tcPr>
          <w:p>
            <w:pPr>
              <w:pStyle w:val="TableContents"/>
              <w:bidi w:val="0"/>
              <w:spacing w:before="0" w:after="283"/>
              <w:jc w:val="left"/>
              <w:rPr/>
            </w:pPr>
            <w:hyperlink w:anchor="ea030428801ex10-2.htm">
              <w:r>
                <w:rPr>
                  <w:rStyle w:val="InternetLink"/>
                  <w:rFonts w:ascii="Times New Roman;Times;Serif" w:hAnsi="Times New Roman;Times;Serif"/>
                  <w:sz w:val="20"/>
                </w:rPr>
                <w:t>Letter Agreement dated August 28, 2026 between authID Inc. and Rhoniel A. Daguro.</w:t>
              </w:r>
            </w:hyperlink>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6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confidential portions of this exhibit were omitted by means of marking such portions with asterisks because the identified confidential portions (i) are not material and (ii) is the type that the registrant treats as private or confidential. A copy of any omitted portions will be furnished to the SEC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2030"/>
        <w:gridCol w:w="590"/>
        <w:gridCol w:w="1895"/>
      </w:tblGrid>
      <w:tr>
        <w:trPr/>
        <w:tc>
          <w:tcPr>
            <w:tcW w:w="203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authID Inc.</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Edward Sellitto</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Sellitto</w:t>
            </w:r>
          </w:p>
        </w:tc>
      </w:tr>
      <w:tr>
        <w:trPr/>
        <w:tc>
          <w:tcPr>
            <w:tcW w:w="203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428801ex10-1.htm"/>
      <w:bookmarkStart w:id="25" w:name="ksea030428801ex101"/>
      <w:bookmarkEnd w:id="24"/>
      <w:bookmarkEnd w:id="2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419225" cy="1066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19225" cy="1066800"/>
                    </a:xfrm>
                    <a:prstGeom prst="rect">
                      <a:avLst/>
                    </a:prstGeom>
                  </pic:spPr>
                </pic:pic>
              </a:graphicData>
            </a:graphic>
          </wp:inline>
        </w:drawing>
      </w:r>
      <w:r>
        <w:rPr>
          <w:caps w:val="false"/>
          <w:smallCaps w:val="false"/>
        </w:rPr>
        <w:t> </w:t>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firstLine="72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EMAIL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R. Szoke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Appointment as Interim CEO of authID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Tom,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pleased to write to you on behalf of the Board of Directors of the Company (the “Board”) to appoint you as Interim Chief Executive Officer of the Company (“CEO”) with effect from September 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your agreement to serve as CEO, the Company and you agree to the following terms, which amend your Offer Letter dated as of April 12,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Your job responsibilities will comprise managing and overseeing all operations and matters of the Group, in order to establish a successful business and manage growth. In addition, you will undertake such functions as are customarily applicable to your position, as well as those that are reasonably assigned to you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Your base salary shall be increased to $300,000 per annum, with effect from the date of your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shall pay you a cash bonus in the sum of $10,000 within five (5) business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shall pay you a cash bonus in the sum of $210,000 within five (5) business days after a closing of a [*] material transaction with a gross value to the Company of over [*] (“Corporate Transaction”), provided that you continue to serve as CEO the date of such closing. This bonus amends and replaces the bonus awarded to you by the Compensation Committee on March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For the avoidance of doubt, (a) payments under this letter shall be subject to deduction of all taxes and other amounts required by law; and (b) payment of the cash bonus under paragraph (4) shall be subject to the terms of and subordinate to all amounts due under the Series of Senior Secured Debentures issued by the Company as of April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both"/>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identified information has been omitted from this exhibit because it is both not material and is the type that the registrant treats as private or confidential.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authID Inc. ● 1580 N. Logan St., Suite 660 ● Unit 51767 ● Denver, CO 80203 ● Tel +1 516 274 8700 ● www.authid.ai</w:t>
            </w:r>
          </w:p>
        </w:tc>
      </w:tr>
    </w:tbl>
    <w:tbl>
      <w:tblPr>
        <w:tblW w:w="3080" w:type="dxa"/>
        <w:jc w:val="left"/>
        <w:tblInd w:w="0" w:type="dxa"/>
        <w:tblLayout w:type="fixed"/>
        <w:tblCellMar>
          <w:top w:w="0" w:type="dxa"/>
          <w:left w:w="0" w:type="dxa"/>
          <w:bottom w:w="0" w:type="dxa"/>
          <w:right w:w="0" w:type="dxa"/>
        </w:tblCellMar>
      </w:tblPr>
      <w:tblGrid>
        <w:gridCol w:w="1530"/>
        <w:gridCol w:w="1550"/>
      </w:tblGrid>
      <w:tr>
        <w:trPr/>
        <w:tc>
          <w:tcPr>
            <w:tcW w:w="1530" w:type="dxa"/>
            <w:tcBorders/>
            <w:vAlign w:val="center"/>
          </w:tcPr>
          <w:p>
            <w:pPr>
              <w:pStyle w:val="TableContents"/>
              <w:bidi w:val="0"/>
              <w:spacing w:before="0" w:after="283"/>
              <w:jc w:val="left"/>
              <w:rPr/>
            </w:pPr>
            <w:r>
              <w:rPr/>
              <w:drawing>
                <wp:inline distT="0" distB="0" distL="0" distR="0">
                  <wp:extent cx="923925"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23925" cy="695325"/>
                          </a:xfrm>
                          <a:prstGeom prst="rect">
                            <a:avLst/>
                          </a:prstGeom>
                        </pic:spPr>
                      </pic:pic>
                    </a:graphicData>
                  </a:graphic>
                </wp:inline>
              </w:drawing>
            </w:r>
            <w:r>
              <w:rPr/>
              <w:t> </w:t>
            </w:r>
          </w:p>
        </w:tc>
        <w:tc>
          <w:tcPr>
            <w:tcW w:w="155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Thomas R. Szoke: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Page 2</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your agreement with the terms set forth above by signing below.</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0" w:type="dxa"/>
          <w:right w:w="0" w:type="dxa"/>
        </w:tblCellMar>
      </w:tblPr>
      <w:tblGrid>
        <w:gridCol w:w="75"/>
        <w:gridCol w:w="22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Koehneman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Koehneman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 Independent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2675"/>
        <w:gridCol w:w="75"/>
      </w:tblGrid>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AGREED THIS August 28,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Szoke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R. Szoke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authID Inc. ● 1580 N. Logan St., Suite 660 ● Unit 51767 ● Denver, CO 80203 ● Tel +1 516 274 8700 ● www.authid.ai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6" w:name="ea030428801ex10-2.htm"/>
      <w:bookmarkStart w:id="27" w:name="ksea030428801ex102"/>
      <w:bookmarkEnd w:id="26"/>
      <w:bookmarkEnd w:id="27"/>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28750" cy="1076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1076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EMAIL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Rhoniel A. Daguro,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 Resignation as CEO of authID (the “Company”) and Appointment as Chairman of the Board of Directors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Rhon,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refer to your letter dated August 26, 2026, by which you resigned as CEO of the Company effective September 4, 2026. On behalf of the Company the Board hereby accepts your resignation for “Good Reason” as defined in your Executive Retention Agreement dated as March 23, 2023 (“Retention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also refer to the Compensation Committee’s letters to you dated as of February 20, 2026 and May 26, 2026 (collectively the “Retention Letters”).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pleased that you have decided to remain on the Board and the Board has resolved to appoint you as Chairman of the Board effective immediately, during the remainder of your current elected term, subject to your earlier resignation, or removal, in accordance with the By-Laws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your agreement to serve as Chairman of the Board, the Company and you agree to the following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shall provide a monthly special stipend to you at the existing level of the premiums necessary to fund your and your dependents ongoing health care coverage under the Company’s healthcare plan for up to 12 months from the Termination Date, or if earlier until you secure other coverage;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shall pay you a cash bonus in the sum of $400,000 within five (5) business days after a closing of a [*] material transaction with a gross value to the Company of over [*] (“Corporate Transaction”), provided that you do not resign as Chairman of the Board prior to such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w:t>
            </w:r>
          </w:p>
        </w:tc>
        <w:tc>
          <w:tcPr>
            <w:tcW w:w="10065" w:type="dxa"/>
            <w:tcBorders/>
            <w:vAlign w:val="center"/>
          </w:tcPr>
          <w:p>
            <w:pPr>
              <w:pStyle w:val="TableContents"/>
              <w:bidi w:val="0"/>
              <w:spacing w:before="0" w:after="283"/>
              <w:jc w:val="both"/>
              <w:rPr/>
            </w:pPr>
            <w:r>
              <w:rPr/>
              <w:t>Certain identified information has been omitted from this exhibit because it is both not material and is the type that the registrant treats as private or confidential.</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authID Inc. ● 1580 N. Logan St., Suite 660 ● Unit 51767 ● Denver, CO 80203 ● Tel +1 516 274 8700 ● www.authid.ai</w:t>
            </w:r>
          </w:p>
        </w:tc>
      </w:tr>
    </w:tbl>
    <w:tbl>
      <w:tblPr>
        <w:tblW w:w="3200" w:type="dxa"/>
        <w:jc w:val="left"/>
        <w:tblInd w:w="0" w:type="dxa"/>
        <w:tblLayout w:type="fixed"/>
        <w:tblCellMar>
          <w:top w:w="0" w:type="dxa"/>
          <w:left w:w="0" w:type="dxa"/>
          <w:bottom w:w="0" w:type="dxa"/>
          <w:right w:w="0" w:type="dxa"/>
        </w:tblCellMar>
      </w:tblPr>
      <w:tblGrid>
        <w:gridCol w:w="1530"/>
        <w:gridCol w:w="1670"/>
      </w:tblGrid>
      <w:tr>
        <w:trPr/>
        <w:tc>
          <w:tcPr>
            <w:tcW w:w="1530" w:type="dxa"/>
            <w:tcBorders/>
            <w:vAlign w:val="center"/>
          </w:tcPr>
          <w:p>
            <w:pPr>
              <w:pStyle w:val="TableContents"/>
              <w:bidi w:val="0"/>
              <w:spacing w:before="0" w:after="283"/>
              <w:jc w:val="left"/>
              <w:rPr/>
            </w:pPr>
            <w:r>
              <w:rPr/>
              <w:drawing>
                <wp:inline distT="0" distB="0" distL="0" distR="0">
                  <wp:extent cx="923925" cy="695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23925" cy="695325"/>
                          </a:xfrm>
                          <a:prstGeom prst="rect">
                            <a:avLst/>
                          </a:prstGeom>
                        </pic:spPr>
                      </pic:pic>
                    </a:graphicData>
                  </a:graphic>
                </wp:inline>
              </w:drawing>
            </w:r>
            <w:r>
              <w:rPr/>
              <w:t> </w:t>
            </w:r>
          </w:p>
        </w:tc>
        <w:tc>
          <w:tcPr>
            <w:tcW w:w="167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Rhoniel A. Daguro: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Page 2</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bl>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As to all stock options previously granted to you by the Company: (a) the vesting of all unvested stock options shall continue through the duration of your holding the office of Director of the Company and (b) the Company hereby extends their exercisability to the date which is three years following your cessation of service as a Director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agrees to: (A) grant you options to purchase 80,000 shares of Common Stock at a price equal to two times (2x) the Nasdaq Official Closing Price on the date of this letter (subject to the price being not less than the Nasdaq Official Closing Price on the date of grant). (B) grant you a warrant to purchase up to 20,000 shares of common stock at a price of $2.00 per share with a two year time period, upon payment by you to the Company of $10,000 in cash or cash equivalents within six months of the date of this letter. These grants will be made once the trading window for Company stock opens in accordance with the Company’s Policy on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You shall also be eligible for and receive such benefits and compensation that the Company provides its non-employee Directors for so long as you are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You hereby agree that the payments due under Section 4.1 of the Retention Agreement shall be due and payable as follows: (a) on a pro-rated monthly basis for such period until you secure alternative employment at a base salary of not less than $400,000 per annum; and (b) the first payment, which shall include all amounts accrued from the date of your August 26, 2026 letter, shall be due as stated in the Retention Agreement but paid within five (5) business days after a close of a Corporate Transaction and thereafter in accordance with the payment schedule of Section 4.1 of the Retention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You agree that this letter (a) amends the Retention Agreement and in particular sections 4.1 through 4.4 thereof, and you agree to provide a release of claims (excepting claims arising out of this letter and the Retention Agreement as amended, rights of indemnification thereunder or pursuant to the By-Laws, Certificate of Incorporation, or applicable law, or ownership of issued or granted equity or securities in the Company) as required by Section 7.3 of the Retention Agreement upon the first payment under paragraph (2) or (5) of this letter; and (b) this letter replaces the Retention Letters in their entirety, which shall henceforth be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For the avoidance of doubt, payments under this letter shall be (a) subject to the terms of and subordinate to all amounts due under the Series of Senior Secured Debentures issued by the Company as of April 29, 2026; and (b) subject to deduction of all taxes and other amounts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authID Inc. ● 1580 N. Logan St., Suite 660 ● Unit 51767 ● Denver, CO 80203 ● Tel +1 516 274 8700 ● www.authid.ai</w:t>
            </w:r>
          </w:p>
        </w:tc>
      </w:tr>
    </w:tbl>
    <w:tbl>
      <w:tblPr>
        <w:tblW w:w="3200" w:type="dxa"/>
        <w:jc w:val="left"/>
        <w:tblInd w:w="0" w:type="dxa"/>
        <w:tblLayout w:type="fixed"/>
        <w:tblCellMar>
          <w:top w:w="0" w:type="dxa"/>
          <w:left w:w="0" w:type="dxa"/>
          <w:bottom w:w="0" w:type="dxa"/>
          <w:right w:w="0" w:type="dxa"/>
        </w:tblCellMar>
      </w:tblPr>
      <w:tblGrid>
        <w:gridCol w:w="1530"/>
        <w:gridCol w:w="1670"/>
      </w:tblGrid>
      <w:tr>
        <w:trPr/>
        <w:tc>
          <w:tcPr>
            <w:tcW w:w="1530" w:type="dxa"/>
            <w:tcBorders/>
            <w:vAlign w:val="center"/>
          </w:tcPr>
          <w:p>
            <w:pPr>
              <w:pStyle w:val="TableContents"/>
              <w:bidi w:val="0"/>
              <w:spacing w:before="0" w:after="283"/>
              <w:jc w:val="left"/>
              <w:rPr/>
            </w:pPr>
            <w:r>
              <w:rPr/>
              <w:drawing>
                <wp:inline distT="0" distB="0" distL="0" distR="0">
                  <wp:extent cx="923925" cy="6953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23925" cy="695325"/>
                          </a:xfrm>
                          <a:prstGeom prst="rect">
                            <a:avLst/>
                          </a:prstGeom>
                        </pic:spPr>
                      </pic:pic>
                    </a:graphicData>
                  </a:graphic>
                </wp:inline>
              </w:drawing>
            </w:r>
            <w:r>
              <w:rPr/>
              <w:t> </w:t>
            </w:r>
          </w:p>
        </w:tc>
        <w:tc>
          <w:tcPr>
            <w:tcW w:w="167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Rhoniel A. Daguro: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Page 3</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tc>
      </w:tr>
    </w:tbl>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your agreement with the terms set forth above by signing below.</w:t>
      </w:r>
    </w:p>
    <w:p>
      <w:pPr>
        <w:pStyle w:val="TextBody"/>
        <w:bidi w:val="0"/>
        <w:spacing w:before="0" w:after="0"/>
        <w:ind w:left="0" w:right="0" w:hanging="0"/>
        <w:jc w:val="left"/>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75"/>
        <w:gridCol w:w="2585"/>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Sincerely,</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585" w:type="dxa"/>
            <w:tcBorders>
              <w:bottom w:val="single" w:sz="12" w:space="0" w:color="000000"/>
            </w:tcBorders>
            <w:tcMar>
              <w:bottom w:w="28" w:type="dxa"/>
            </w:tcMar>
            <w:vAlign w:val="center"/>
          </w:tcPr>
          <w:p>
            <w:pPr>
              <w:pStyle w:val="TableContents"/>
              <w:bidi w:val="0"/>
              <w:spacing w:before="0" w:after="283"/>
              <w:jc w:val="left"/>
              <w:rPr/>
            </w:pPr>
            <w:r>
              <w:rPr/>
              <w:t>/s/ Michael Koehneman</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Koehneman</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Lead Independent Director</w:t>
            </w:r>
          </w:p>
        </w:tc>
      </w:tr>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0" w:type="dxa"/>
          <w:left w:w="0" w:type="dxa"/>
          <w:bottom w:w="0" w:type="dxa"/>
          <w:right w:w="0" w:type="dxa"/>
        </w:tblCellMar>
      </w:tblPr>
      <w:tblGrid>
        <w:gridCol w:w="3290"/>
        <w:gridCol w:w="75"/>
      </w:tblGrid>
      <w:tr>
        <w:trPr/>
        <w:tc>
          <w:tcPr>
            <w:tcW w:w="3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AGREED THIS August 28, 2026</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9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Rhoniel A. Daguro</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Rhoniel A. Daguro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authID Inc. ● 1580 N. Logan St., Suite 660 ● Unit 51767 ● Denver, CO 80203 ● Tel +1 516 274 8700 ● www.authid.ai</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3362</Words>
  <Characters>16914</Characters>
  <CharactersWithSpaces>20277</CharactersWithSpaces>
  <Paragraphs>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